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keepNext w:val="true"/>
        <w:widowControl/>
        <w:numPr>
          <w:ilvl w:val="0"/>
          <w:numId w:val="5"/>
        </w:numPr>
        <w:bidi w:val="0"/>
        <w:ind w:left="0" w:right="0" w:firstLine="1984"/>
        <w:jc w:val="center"/>
        <w:outlineLvl w:val="0"/>
        <w:rPr/>
      </w:pPr>
      <w:r>
        <w:rPr>
          <w:b/>
          <w:sz w:val="24"/>
          <w:szCs w:val="24"/>
        </w:rPr>
        <w:t>PROPOSIÇÃO DE LEI Nº 22</w:t>
      </w:r>
      <w:r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, </w:t>
      </w:r>
      <w:r>
        <w:rPr>
          <w:rFonts w:cs="Times New Roman"/>
          <w:b/>
          <w:bCs/>
          <w:sz w:val="24"/>
          <w:szCs w:val="24"/>
        </w:rPr>
        <w:t>DE 23 DE ABRIL DE 2021.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336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</w:r>
    </w:p>
    <w:p>
      <w:pPr>
        <w:pStyle w:val="Normal"/>
        <w:ind w:left="336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Concede reajuste de vencimentos aos servidores do Poder Legislativo; e dá outras providências.</w:t>
      </w:r>
    </w:p>
    <w:p>
      <w:pPr>
        <w:pStyle w:val="Normal"/>
        <w:ind w:left="2832" w:right="0" w:firstLine="3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PATOS DE MINAS APROVA:</w:t>
      </w:r>
    </w:p>
    <w:p>
      <w:pPr>
        <w:pStyle w:val="Normal"/>
        <w:ind w:left="0" w:right="0" w:firstLine="143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ind w:left="0" w:right="0" w:firstLine="1416"/>
        <w:jc w:val="both"/>
        <w:rPr/>
      </w:pPr>
      <w:r>
        <w:rPr>
          <w:sz w:val="24"/>
          <w:szCs w:val="24"/>
        </w:rPr>
        <w:t xml:space="preserve">Art. 1°  Os vencimentos dos servidores públicos do Poder Legislativo de Patos de Minas ficam reajustados em </w:t>
      </w:r>
      <w:r>
        <w:rPr>
          <w:rFonts w:cs="Times New Roman"/>
          <w:sz w:val="24"/>
          <w:szCs w:val="24"/>
        </w:rPr>
        <w:t>5,45% (cinco vírgula quarenta e cinco por cento), a partir de 1º de janeiro de 2021.</w:t>
      </w:r>
    </w:p>
    <w:p>
      <w:pPr>
        <w:pStyle w:val="Normal"/>
        <w:spacing w:before="0" w:after="120"/>
        <w:ind w:left="0" w:right="0" w:firstLine="1416"/>
        <w:jc w:val="both"/>
        <w:rPr/>
      </w:pPr>
      <w:r>
        <w:rPr>
          <w:sz w:val="24"/>
          <w:szCs w:val="24"/>
        </w:rPr>
        <w:t>§ 1º  O reajuste incidirá sobre os valores constantes dos anexos I e II da Lei Municipal nº 7.</w:t>
      </w:r>
      <w:r>
        <w:rPr>
          <w:sz w:val="24"/>
          <w:szCs w:val="24"/>
        </w:rPr>
        <w:t>922</w:t>
      </w:r>
      <w:r>
        <w:rPr>
          <w:sz w:val="24"/>
          <w:szCs w:val="24"/>
        </w:rPr>
        <w:t xml:space="preserve">, de 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</w:t>
      </w:r>
      <w:r>
        <w:rPr>
          <w:sz w:val="24"/>
          <w:szCs w:val="24"/>
        </w:rPr>
        <w:t>20</w:t>
      </w:r>
      <w:r>
        <w:rPr>
          <w:sz w:val="24"/>
          <w:szCs w:val="24"/>
        </w:rPr>
        <w:t>, observadas, ainda, as alterações promovidas pela Resolução n.º 262, de 16 de julho de 2010, e alterações posteriores.</w:t>
      </w:r>
    </w:p>
    <w:p>
      <w:pPr>
        <w:pStyle w:val="Normal"/>
        <w:ind w:left="0" w:right="0" w:firstLine="1416"/>
        <w:jc w:val="both"/>
        <w:rPr/>
      </w:pPr>
      <w:r>
        <w:rPr>
          <w:color w:val="000000"/>
          <w:sz w:val="24"/>
          <w:szCs w:val="24"/>
        </w:rPr>
        <w:t>§ 2º  O referido percentual incidirá também sobre a vantagem pecuniária de que trata a Lei Municipal nº 5.322, de 30 de setembro de 2003, revisada pelo art. 1º, § 2º da Lei Municipal nº 7.</w:t>
      </w:r>
      <w:r>
        <w:rPr>
          <w:color w:val="000000"/>
          <w:sz w:val="24"/>
          <w:szCs w:val="24"/>
        </w:rPr>
        <w:t>922</w:t>
      </w:r>
      <w:r>
        <w:rPr>
          <w:color w:val="000000"/>
          <w:sz w:val="24"/>
          <w:szCs w:val="24"/>
        </w:rPr>
        <w:t xml:space="preserve">, de </w:t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fevereiro</w:t>
      </w:r>
      <w:r>
        <w:rPr>
          <w:color w:val="000000"/>
          <w:sz w:val="24"/>
          <w:szCs w:val="24"/>
        </w:rPr>
        <w:t xml:space="preserve"> de 20</w:t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, passando a ser de </w:t>
      </w:r>
      <w:r>
        <w:rPr>
          <w:color w:val="000000"/>
          <w:sz w:val="24"/>
          <w:szCs w:val="24"/>
        </w:rPr>
        <w:t>R$ 558,88 (quinhentos e cinquenta e oito reais e oitenta e oito centavos).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0" w:right="0" w:firstLine="1416"/>
        <w:jc w:val="both"/>
        <w:rPr/>
      </w:pPr>
      <w:r>
        <w:rPr>
          <w:color w:val="000000"/>
          <w:sz w:val="24"/>
          <w:szCs w:val="24"/>
        </w:rPr>
        <w:t>Art. 2° As despesas decorrentes da execução desta Lei correrão por</w:t>
      </w:r>
      <w:r>
        <w:rPr>
          <w:sz w:val="24"/>
          <w:szCs w:val="24"/>
        </w:rPr>
        <w:t xml:space="preserve"> conta de dotações orçamentárias próprias do orçamento municipal vigente.</w:t>
      </w:r>
    </w:p>
    <w:p>
      <w:pPr>
        <w:pStyle w:val="Normal"/>
        <w:ind w:left="0" w:right="0"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1134"/>
        <w:jc w:val="both"/>
        <w:rPr/>
      </w:pPr>
      <w:r>
        <w:rPr>
          <w:sz w:val="24"/>
          <w:szCs w:val="24"/>
        </w:rPr>
        <w:tab/>
        <w:t xml:space="preserve">Art.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º  Integram esta Lei os Anexos I 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>II.</w:t>
      </w:r>
    </w:p>
    <w:p>
      <w:pPr>
        <w:pStyle w:val="Normal"/>
        <w:ind w:left="0" w:right="0" w:firstLine="141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1416"/>
        <w:jc w:val="both"/>
        <w:rPr/>
      </w:pPr>
      <w:r>
        <w:rPr>
          <w:sz w:val="24"/>
          <w:szCs w:val="24"/>
        </w:rPr>
        <w:t xml:space="preserve">Art. </w:t>
      </w:r>
      <w:r>
        <w:rPr>
          <w:sz w:val="24"/>
          <w:szCs w:val="24"/>
        </w:rPr>
        <w:t>4</w:t>
      </w:r>
      <w:r>
        <w:rPr>
          <w:sz w:val="24"/>
          <w:szCs w:val="24"/>
        </w:rPr>
        <w:t>º Esta Lei entra em vigor na data de sua publicação, retroagindo seus efeitos a 1º de janeiro de 20</w:t>
      </w:r>
      <w:r>
        <w:rPr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>
      <w:pPr>
        <w:pStyle w:val="Normal"/>
        <w:ind w:left="0" w:right="0" w:firstLine="141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134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>Câmara Municipal de Patos de Minas, 23 de abril de 2021.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highlight w:val="white"/>
          <w:lang w:eastAsia="pt-BR"/>
        </w:rPr>
        <w:t>Ezequiel Macedo Galvão</w:t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sz w:val="24"/>
          <w:szCs w:val="24"/>
          <w:highlight w:val="white"/>
          <w:lang w:eastAsia="pt-BR"/>
        </w:rPr>
        <w:t>Presidente da Câmara Municipal</w:t>
      </w:r>
    </w:p>
    <w:p>
      <w:pPr>
        <w:pStyle w:val="Normal"/>
        <w:widowControl/>
        <w:bidi w:val="0"/>
        <w:spacing w:lineRule="auto" w:line="276"/>
        <w:ind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  <w:highlight w:val="white"/>
          <w:lang w:eastAsia="pt-BR"/>
        </w:rPr>
      </w:pPr>
      <w:r>
        <w:rPr>
          <w:b/>
          <w:bCs/>
          <w:color w:val="000000"/>
          <w:sz w:val="24"/>
          <w:szCs w:val="24"/>
          <w:highlight w:val="white"/>
          <w:lang w:eastAsia="pt-BR"/>
        </w:rPr>
      </w:r>
    </w:p>
    <w:p>
      <w:pPr>
        <w:pStyle w:val="Normal"/>
        <w:widowControl/>
        <w:bidi w:val="0"/>
        <w:spacing w:lineRule="auto" w:line="276"/>
        <w:ind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  <w:highlight w:val="white"/>
          <w:lang w:eastAsia="pt-BR"/>
        </w:rPr>
      </w:pPr>
      <w:r>
        <w:rPr>
          <w:b/>
          <w:bCs/>
          <w:color w:val="000000"/>
          <w:sz w:val="24"/>
          <w:szCs w:val="24"/>
          <w:highlight w:val="white"/>
          <w:lang w:eastAsia="pt-BR"/>
        </w:rPr>
      </w:r>
    </w:p>
    <w:p>
      <w:pPr>
        <w:pStyle w:val="Normal"/>
        <w:widowControl/>
        <w:bidi w:val="0"/>
        <w:spacing w:lineRule="auto" w:line="276"/>
        <w:ind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  <w:highlight w:val="white"/>
          <w:lang w:eastAsia="pt-BR"/>
        </w:rPr>
      </w:pPr>
      <w:r>
        <w:rPr>
          <w:b/>
          <w:bCs/>
          <w:color w:val="000000"/>
          <w:sz w:val="24"/>
          <w:szCs w:val="24"/>
          <w:highlight w:val="white"/>
          <w:lang w:eastAsia="pt-BR"/>
        </w:rPr>
      </w:r>
    </w:p>
    <w:p>
      <w:pPr>
        <w:pStyle w:val="Normal"/>
        <w:widowControl/>
        <w:bidi w:val="0"/>
        <w:spacing w:lineRule="auto" w:line="276"/>
        <w:ind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  <w:highlight w:val="white"/>
          <w:lang w:eastAsia="pt-BR"/>
        </w:rPr>
      </w:pPr>
      <w:r>
        <w:rPr>
          <w:b/>
          <w:bCs/>
          <w:color w:val="000000"/>
          <w:sz w:val="24"/>
          <w:szCs w:val="24"/>
          <w:highlight w:val="white"/>
          <w:lang w:eastAsia="pt-BR"/>
        </w:rPr>
      </w:r>
    </w:p>
    <w:p>
      <w:pPr>
        <w:pStyle w:val="Normal"/>
        <w:widowControl/>
        <w:bidi w:val="0"/>
        <w:spacing w:lineRule="auto" w:line="276"/>
        <w:ind w:right="0" w:hanging="0"/>
        <w:jc w:val="center"/>
        <w:rPr>
          <w:rFonts w:ascii="Times New Roman" w:hAnsi="Times New Roman"/>
          <w:b/>
          <w:b/>
          <w:bCs/>
          <w:color w:val="000000"/>
          <w:sz w:val="16"/>
          <w:szCs w:val="16"/>
          <w:highlight w:val="white"/>
          <w:lang w:eastAsia="pt-BR"/>
        </w:rPr>
      </w:pPr>
      <w:r>
        <w:rPr>
          <w:b/>
          <w:bCs/>
          <w:color w:val="000000"/>
          <w:sz w:val="16"/>
          <w:szCs w:val="16"/>
          <w:highlight w:val="white"/>
          <w:lang w:eastAsia="pt-BR"/>
        </w:rPr>
      </w:r>
    </w:p>
    <w:p>
      <w:pPr>
        <w:pStyle w:val="Normal"/>
        <w:widowControl/>
        <w:bidi w:val="0"/>
        <w:spacing w:lineRule="auto" w:line="276" w:before="0" w:after="0"/>
        <w:ind w:right="0" w:hanging="0"/>
        <w:jc w:val="left"/>
        <w:rPr>
          <w:b/>
          <w:b/>
          <w:sz w:val="16"/>
          <w:szCs w:val="16"/>
        </w:rPr>
      </w:pPr>
      <w:r>
        <w:rPr>
          <w:rFonts w:eastAsia="SimSun;宋体"/>
          <w:b/>
          <w:bCs/>
          <w:color w:val="000000"/>
          <w:kern w:val="2"/>
          <w:sz w:val="16"/>
          <w:szCs w:val="16"/>
          <w:highlight w:val="white"/>
          <w:lang w:eastAsia="pt-BR" w:bidi="hi-IN"/>
        </w:rPr>
        <w:t>* PROJETO DE LEI Nº 52</w:t>
      </w:r>
      <w:r>
        <w:rPr>
          <w:rFonts w:eastAsia="SimSun;宋体"/>
          <w:b/>
          <w:bCs/>
          <w:color w:val="000000"/>
          <w:kern w:val="2"/>
          <w:sz w:val="16"/>
          <w:szCs w:val="16"/>
          <w:highlight w:val="white"/>
          <w:lang w:eastAsia="pt-BR" w:bidi="hi-IN"/>
        </w:rPr>
        <w:t>25</w:t>
      </w:r>
      <w:r>
        <w:rPr>
          <w:rFonts w:eastAsia="SimSun;宋体"/>
          <w:b/>
          <w:bCs/>
          <w:color w:val="000000"/>
          <w:kern w:val="2"/>
          <w:sz w:val="16"/>
          <w:szCs w:val="16"/>
          <w:highlight w:val="white"/>
          <w:lang w:eastAsia="pt-BR" w:bidi="hi-IN"/>
        </w:rPr>
        <w:t>/2021,  DE AUTORIA D</w:t>
      </w:r>
      <w:r>
        <w:rPr>
          <w:rFonts w:eastAsia="SimSun;宋体"/>
          <w:b/>
          <w:bCs/>
          <w:color w:val="000000"/>
          <w:kern w:val="2"/>
          <w:sz w:val="16"/>
          <w:szCs w:val="16"/>
          <w:highlight w:val="white"/>
          <w:lang w:eastAsia="pt-BR" w:bidi="hi-IN"/>
        </w:rPr>
        <w:t>A MESA DIRETORA</w:t>
      </w:r>
    </w:p>
    <w:p>
      <w:pPr>
        <w:pStyle w:val="Normal"/>
        <w:widowControl/>
        <w:bidi w:val="0"/>
        <w:spacing w:lineRule="auto" w:line="276" w:before="0" w:after="0"/>
        <w:ind w:right="0" w:hanging="0"/>
        <w:jc w:val="left"/>
        <w:rPr>
          <w:rFonts w:eastAsia="SimSun;宋体"/>
          <w:bCs/>
          <w:color w:val="000000"/>
          <w:kern w:val="2"/>
          <w:highlight w:val="white"/>
          <w:lang w:eastAsia="pt-BR" w:bidi="hi-IN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TABELA DE VENCIMENTOS – 2021</w:t>
      </w:r>
    </w:p>
    <w:p>
      <w:pPr>
        <w:pStyle w:val="Ttulo2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tulo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N E X O    I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6"/>
          <w:szCs w:val="24"/>
        </w:rPr>
      </w:pPr>
      <w:r>
        <w:rPr>
          <w:rFonts w:cs="Arial" w:ascii="Arial" w:hAnsi="Arial"/>
          <w:sz w:val="6"/>
          <w:szCs w:val="24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CLASSES DE PROVIMENTO EM COMISSÃO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258" w:type="dxa"/>
        <w:jc w:val="left"/>
        <w:tblInd w:w="-12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6224"/>
        <w:gridCol w:w="1847"/>
      </w:tblGrid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-231" w:hanging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CÓDIGO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DENOMINAÇÃO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NÍVEL DE VENCIMENTO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Grupo de Direção Superior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18"/>
          <w:szCs w:val="24"/>
        </w:rPr>
      </w:pPr>
      <w:r>
        <w:rPr>
          <w:rFonts w:cs="Arial" w:ascii="Arial" w:hAnsi="Arial"/>
          <w:sz w:val="18"/>
          <w:szCs w:val="24"/>
        </w:rPr>
      </w:r>
    </w:p>
    <w:tbl>
      <w:tblPr>
        <w:tblW w:w="913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6293"/>
        <w:gridCol w:w="1774"/>
      </w:tblGrid>
      <w:tr>
        <w:trPr>
          <w:trHeight w:val="368" w:hRule="atLeast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DS.01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Diretor-Geral</w:t>
              <w:tab/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8.179,51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16"/>
          <w:szCs w:val="24"/>
        </w:rPr>
      </w:pPr>
      <w:r>
        <w:rPr>
          <w:rFonts w:cs="Arial" w:ascii="Arial" w:hAnsi="Arial"/>
          <w:sz w:val="16"/>
          <w:szCs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Grupo de Direção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13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240"/>
        <w:gridCol w:w="1830"/>
      </w:tblGrid>
      <w:tr>
        <w:trPr/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D.   01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Diretor Adjunto Administrativo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4.872,96</w:t>
            </w:r>
          </w:p>
        </w:tc>
      </w:tr>
      <w:tr>
        <w:trPr/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D.   02            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Diretor Adjunto Legislativo                                               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4.872,96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12"/>
          <w:szCs w:val="24"/>
        </w:rPr>
      </w:pPr>
      <w:r>
        <w:rPr>
          <w:rFonts w:cs="Arial" w:ascii="Arial" w:hAnsi="Arial"/>
          <w:sz w:val="12"/>
          <w:szCs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Grupo de Chefia</w:t>
      </w:r>
    </w:p>
    <w:p>
      <w:pPr>
        <w:pStyle w:val="Normal"/>
        <w:ind w:left="141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1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240"/>
        <w:gridCol w:w="1830"/>
      </w:tblGrid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CH.01</w:t>
              <w:tab/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Chefe de Divisão de Contabilidade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3.528,98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CH.02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Chefe de Divisão de Apoio Parlamentar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3.528,98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CH.03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Chefe de Divisão de Informática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3.528,98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CH.04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Chefe de Divisão de Tesouraria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3.528,98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CH.05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Chefe de Divisão de Compras e Licitações                       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3.528,98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CH.06</w:t>
              <w:tab/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Chefe de Divisão de Recursos Humanos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3.528,98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CH.07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Coordenador da Escola do Legislativo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3.528,98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8"/>
          <w:szCs w:val="24"/>
        </w:rPr>
      </w:pPr>
      <w:r>
        <w:rPr>
          <w:rFonts w:cs="Arial" w:ascii="Arial" w:hAnsi="Arial"/>
          <w:sz w:val="8"/>
          <w:szCs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Grupo de Assessoramento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1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240"/>
        <w:gridCol w:w="1830"/>
      </w:tblGrid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AS.01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Procurador e Consultor Jurídico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7.069,34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AS.02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Assessor de Comunicação e Marketing      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3.528,98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AS.03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Assessor Parlamentar</w:t>
              <w:tab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3.528,98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AS.04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Assessor da Escola do Legislativo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3.227,13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AS.05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Ouvidor Legislativo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3.528,98</w:t>
            </w:r>
          </w:p>
        </w:tc>
      </w:tr>
    </w:tbl>
    <w:p>
      <w:pPr>
        <w:pStyle w:val="Normal"/>
        <w:ind w:left="177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770" w:right="0" w:hanging="0"/>
        <w:rPr>
          <w:rFonts w:ascii="Arial" w:hAnsi="Arial" w:cs="Arial"/>
          <w:sz w:val="14"/>
          <w:szCs w:val="24"/>
        </w:rPr>
      </w:pPr>
      <w:r>
        <w:rPr>
          <w:rFonts w:cs="Arial" w:ascii="Arial" w:hAnsi="Arial"/>
          <w:sz w:val="14"/>
          <w:szCs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Grupo de Execução</w:t>
      </w:r>
    </w:p>
    <w:p>
      <w:pPr>
        <w:pStyle w:val="Normal"/>
        <w:ind w:left="4248" w:right="0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1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240"/>
        <w:gridCol w:w="1830"/>
      </w:tblGrid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EX. 01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Encarregado de Setor de Limpeza, Copa e Cozinha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1.725,23</w:t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985" w:right="1418" w:header="709" w:top="2552" w:footer="822" w:bottom="170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ind w:left="4248" w:right="0" w:hanging="0"/>
        <w:rPr>
          <w:rFonts w:cs="Arial"/>
        </w:rPr>
      </w:pPr>
      <w:r>
        <w:rPr>
          <w:rFonts w:cs="Arial"/>
        </w:rPr>
        <w:tab/>
        <w:tab/>
      </w:r>
    </w:p>
    <w:p>
      <w:pPr>
        <w:pStyle w:val="Normal"/>
        <w:ind w:left="4248" w:right="0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4248" w:right="0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4248" w:right="0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4248" w:right="0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4248" w:right="0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4248" w:right="0" w:firstLine="708"/>
        <w:rPr>
          <w:rFonts w:cs="Arial"/>
          <w:b/>
          <w:b/>
          <w:bCs/>
        </w:rPr>
      </w:pPr>
      <w:r>
        <w:rPr>
          <w:rFonts w:cs="Arial"/>
          <w:b/>
          <w:bCs/>
        </w:rPr>
        <w:tab/>
        <w:tab/>
        <w:t>TABELA DE VENCIMENTO</w:t>
        <w:tab/>
        <w:tab/>
        <w:tab/>
        <w:tab/>
        <w:tab/>
        <w:tab/>
      </w:r>
    </w:p>
    <w:p>
      <w:pPr>
        <w:pStyle w:val="Normal"/>
        <w:ind w:left="2832" w:right="0" w:firstLine="708"/>
        <w:rPr/>
      </w:pPr>
      <w:r>
        <w:rPr>
          <w:rFonts w:cs="Times New Roman"/>
          <w:b/>
          <w:bCs/>
        </w:rPr>
        <w:t xml:space="preserve">                       </w:t>
      </w:r>
      <w:r>
        <w:rPr>
          <w:rFonts w:cs="Arial"/>
          <w:b/>
          <w:bCs/>
        </w:rPr>
        <w:tab/>
        <w:tab/>
        <w:tab/>
        <w:tab/>
        <w:t xml:space="preserve"> </w:t>
      </w:r>
      <w:r>
        <w:rPr>
          <w:rFonts w:cs="Arial"/>
          <w:b/>
        </w:rPr>
        <w:t>A N E X O   II</w:t>
      </w:r>
    </w:p>
    <w:p>
      <w:pPr>
        <w:pStyle w:val="Normal"/>
        <w:ind w:left="2832" w:right="0" w:firstLine="708"/>
        <w:rPr>
          <w:rFonts w:cs="Arial"/>
          <w:b/>
          <w:b/>
        </w:rPr>
      </w:pPr>
      <w:r>
        <w:rPr>
          <w:rFonts w:cs="Arial"/>
          <w:b/>
        </w:rPr>
      </w:r>
    </w:p>
    <w:tbl>
      <w:tblPr>
        <w:tblW w:w="13308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0"/>
        <w:gridCol w:w="503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>
        <w:trPr>
          <w:trHeight w:val="315" w:hRule="atLeast"/>
        </w:trPr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GH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1113,26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1168,91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1227,36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1288,72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1353,15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1420,80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1491,83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1566,42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1644,73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1726,97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1813,30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1903,96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1999,15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2099,10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2204,05</w:t>
            </w:r>
          </w:p>
        </w:tc>
      </w:tr>
      <w:tr>
        <w:trPr>
          <w:trHeight w:val="315" w:hRule="atLeast"/>
        </w:trPr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1113,45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1169,12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1227,58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1288,95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1353,40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1421,07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1492,12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1566,73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1645,07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1727,32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1813,68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1904,38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1999,59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2099,57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2204,55</w:t>
            </w:r>
          </w:p>
        </w:tc>
      </w:tr>
      <w:tr>
        <w:trPr>
          <w:trHeight w:val="315" w:hRule="atLeast"/>
        </w:trPr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1114,18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1169,89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1228,39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1289,80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1354,29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1422,01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1493,11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1567,76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1646,15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1728,46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1814,88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1905,63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2000,91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2100,96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2206,00</w:t>
            </w:r>
          </w:p>
        </w:tc>
      </w:tr>
      <w:tr>
        <w:trPr>
          <w:trHeight w:val="315" w:hRule="atLeast"/>
        </w:trPr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1122,97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1179,13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1238,08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1299,98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1364,98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1433,23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1504,89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1580,13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1659,14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1742,10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1829,21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1920,66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2016,69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2117,53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2223,41</w:t>
            </w:r>
          </w:p>
        </w:tc>
      </w:tr>
      <w:tr>
        <w:trPr>
          <w:trHeight w:val="315" w:hRule="atLeast"/>
        </w:trPr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1139,10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1196,06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1255,85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1318,64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1384,59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1453,81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1526,49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1602,81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1682,95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1767,10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1855,45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1948,22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2045,62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2147,90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2255,29</w:t>
            </w:r>
          </w:p>
        </w:tc>
      </w:tr>
      <w:tr>
        <w:trPr>
          <w:trHeight w:val="315" w:hRule="atLeast"/>
        </w:trPr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1155,24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1213,00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1273,65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1337,32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1404,18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1474,38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1548,10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1625,51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1706,77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1792,12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1881,72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1975,81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2074,60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2178,33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2287,24</w:t>
            </w:r>
          </w:p>
        </w:tc>
      </w:tr>
      <w:tr>
        <w:trPr>
          <w:trHeight w:val="315" w:hRule="atLeast"/>
        </w:trPr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VII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1236,45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1298,26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1363,14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1431,29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1502,84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1577,98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1656,88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1739,71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1826,67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1917,99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2013,89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2114,57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2220,29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2331,30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2447,87</w:t>
            </w:r>
          </w:p>
        </w:tc>
      </w:tr>
      <w:tr>
        <w:trPr>
          <w:trHeight w:val="315" w:hRule="atLeast"/>
        </w:trPr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1442,31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1514,42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1590,14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1669,65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1753,13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1840,79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1932,82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2029,46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2130,94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2237,49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2349,36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2466,83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2590,18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2719,68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2855,67</w:t>
            </w:r>
          </w:p>
        </w:tc>
      </w:tr>
      <w:tr>
        <w:trPr>
          <w:trHeight w:val="315" w:hRule="atLeast"/>
        </w:trPr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IX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1795,85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1885,63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1979,92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2078,92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2182,87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2292,01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2406,61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2526,94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2653,29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2785,95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2925,25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3071,52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3225,09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3386,35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3555,67</w:t>
            </w:r>
          </w:p>
        </w:tc>
      </w:tr>
      <w:tr>
        <w:trPr>
          <w:trHeight w:val="315" w:hRule="atLeast"/>
        </w:trPr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2235,82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2347,59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2464,98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2588,23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2717,64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2853,52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2996,20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3146,02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3303,32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3468,48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3641,90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3824,00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4015,20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4215,96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4426,75</w:t>
            </w:r>
          </w:p>
        </w:tc>
      </w:tr>
      <w:tr>
        <w:trPr>
          <w:trHeight w:val="315" w:hRule="atLeast"/>
        </w:trPr>
        <w:tc>
          <w:tcPr>
            <w:tcW w:w="2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XI</w:t>
            </w:r>
          </w:p>
        </w:tc>
        <w:tc>
          <w:tcPr>
            <w:tcW w:w="503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8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3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8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3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4080,60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4289,20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4497,79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4714,77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4944,27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5190,40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5449,11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5720,30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5999,87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6296,10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6613,20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6938,66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7289,13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7652,11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8031,82</w:t>
            </w:r>
          </w:p>
        </w:tc>
      </w:tr>
      <w:tr>
        <w:trPr>
          <w:trHeight w:val="315" w:hRule="atLeast"/>
        </w:trPr>
        <w:tc>
          <w:tcPr>
            <w:tcW w:w="28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3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>
      <w:pPr>
        <w:pStyle w:val="Normal"/>
        <w:ind w:left="2832" w:right="0" w:firstLine="708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ind w:left="2832" w:right="0" w:firstLine="708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before="120" w:after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ind w:left="4248" w:right="0" w:hanging="0"/>
        <w:rPr>
          <w:rFonts w:cs="Arial"/>
        </w:rPr>
      </w:pPr>
      <w:r>
        <w:rPr>
          <w:rFonts w:cs="Arial"/>
        </w:rPr>
        <w:tab/>
        <w:tab/>
      </w:r>
    </w:p>
    <w:p>
      <w:pPr>
        <w:pStyle w:val="Normal"/>
        <w:ind w:left="4248" w:right="0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4248" w:right="0" w:hanging="0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Arial" w:hAnsi="Arial" w:cs="Arial"/>
          <w:sz w:val="12"/>
          <w:szCs w:val="24"/>
        </w:rPr>
      </w:pPr>
      <w:r>
        <w:rPr>
          <w:rFonts w:cs="Arial" w:ascii="Arial" w:hAnsi="Arial"/>
          <w:sz w:val="12"/>
          <w:szCs w:val="24"/>
        </w:rPr>
      </w:r>
    </w:p>
    <w:p>
      <w:pPr>
        <w:pStyle w:val="Normal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sectPr>
      <w:headerReference w:type="default" r:id="rId6"/>
      <w:footerReference w:type="default" r:id="rId7"/>
      <w:type w:val="nextPage"/>
      <w:pgSz w:orient="landscape" w:w="16838" w:h="11906"/>
      <w:pgMar w:left="510" w:right="4535" w:header="720" w:top="776" w:footer="720" w:bottom="7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Calibri">
    <w:charset w:val="00"/>
    <w:family w:val="roman"/>
    <w:pitch w:val="variable"/>
  </w:font>
  <w:font w:name="Times New Roman"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>
        <w:rStyle w:val="Nmerodepgina"/>
      </w:rPr>
      <w:t>Prop. Lei 2230/2021</w:t>
      <w:tab/>
    </w:r>
    <w:r>
      <w:rPr>
        <w:rStyle w:val="Nmerodepgina"/>
      </w:rPr>
      <w:fldChar w:fldCharType="begin"/>
    </w:r>
    <w:r>
      <w:rPr>
        <w:rStyle w:val="Nmerodepgina"/>
      </w:rPr>
      <w:instrText> PAGE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t>3</w:t>
    </w:r>
    <w:r>
      <w:rPr>
        <w:rStyle w:val="Nmerodepgina"/>
      </w:rPr>
      <w:tab/>
    </w:r>
  </w:p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>Prop. Lei 2230/2021</w:t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t>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>
        <w:rStyle w:val="Nmerodepgina"/>
      </w:rPr>
      <w:t>Prop. Lei 2230/2021</w:t>
      <w:tab/>
      <w:tab/>
    </w:r>
    <w:r>
      <w:rPr>
        <w:rStyle w:val="Nmerodepgina"/>
      </w:rPr>
      <w:fldChar w:fldCharType="begin"/>
    </w:r>
    <w:r>
      <w:rPr>
        <w:rStyle w:val="Nmerodepgina"/>
      </w:rPr>
      <w:instrText> PAGE </w:instrText>
    </w:r>
    <w:r>
      <w:rPr>
        <w:rStyle w:val="Nmerodepgina"/>
      </w:rPr>
      <w:fldChar w:fldCharType="separate"/>
    </w:r>
    <w:r>
      <w:rPr>
        <w:rStyle w:val="Nmerodepgina"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t>3</w:t>
    </w:r>
    <w:r>
      <w:rPr>
        <w:rStyle w:val="Nmerodepgina"/>
      </w:rPr>
      <w:tab/>
      <w:t xml:space="preserve">                                                                                                     </w:t>
    </w:r>
  </w:p>
  <w:p>
    <w:pPr>
      <w:pStyle w:val="Rodap"/>
      <w:rPr>
        <w:rStyle w:val="Nmerodepgina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right" w:pos="8838" w:leader="none"/>
      </w:tabs>
      <w:ind w:left="0" w:right="0" w:hanging="0"/>
      <w:jc w:val="center"/>
      <w:rPr>
        <w:i/>
        <w:i/>
        <w:sz w:val="28"/>
      </w:rPr>
    </w:pPr>
    <w:r>
      <w:rPr>
        <w:i/>
        <w:sz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right" w:pos="8838" w:leader="none"/>
      </w:tabs>
      <w:ind w:left="1260" w:right="0" w:hanging="0"/>
      <w:jc w:val="center"/>
      <w:rPr>
        <w:i/>
        <w:i/>
        <w:sz w:val="28"/>
      </w:rPr>
    </w:pPr>
    <w:r>
      <w:rPr>
        <w:i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177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32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rFonts w:ascii="Arial" w:hAnsi="Arial" w:cs="Arial"/>
      <w:b/>
      <w:bCs/>
      <w:color w:val="000000"/>
      <w:sz w:val="18"/>
      <w:szCs w:val="24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bCs/>
      <w:color w:val="FF0000"/>
      <w:sz w:val="22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eastAsia="Times New Roman" w:cs="Times New Roman"/>
      <w:sz w:val="16"/>
      <w:szCs w:val="16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Symbol" w:hAnsi="Symbol" w:eastAsia="Times New Roman" w:cs="Aria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b w:val="false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Times New Roman" w:hAnsi="Times New Roman" w:cs="Times New Roman"/>
      <w:color w:val="000000"/>
      <w:sz w:val="24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Times New Roman" w:hAnsi="Times New Roman" w:eastAsia="Times New Roman"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Nmerodepgina">
    <w:name w:val="Número de página"/>
    <w:basedOn w:val="Fontepargpadro"/>
    <w:rPr/>
  </w:style>
  <w:style w:type="character" w:styleId="RodapChar">
    <w:name w:val="Rodapé Char"/>
    <w:qFormat/>
    <w:rPr/>
  </w:style>
  <w:style w:type="character" w:styleId="TtuloChar">
    <w:name w:val="Título Char"/>
    <w:qFormat/>
    <w:rPr>
      <w:rFonts w:ascii="Arial" w:hAnsi="Arial" w:cs="Arial"/>
      <w:b/>
      <w:bCs/>
      <w:sz w:val="24"/>
      <w:szCs w:val="24"/>
      <w:lang w:val="pt-BR"/>
    </w:rPr>
  </w:style>
  <w:style w:type="character" w:styleId="CorpodetextoChar">
    <w:name w:val="Corpo de texto Char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jc w:val="center"/>
    </w:pPr>
    <w:rPr>
      <w:rFonts w:ascii="Arial" w:hAnsi="Arial" w:cs="Arial"/>
      <w:b/>
      <w:bCs/>
      <w:sz w:val="24"/>
      <w:szCs w:val="24"/>
      <w:lang w:val="pt-BR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131" w:right="0" w:hanging="0"/>
      <w:jc w:val="both"/>
    </w:pPr>
    <w:rPr>
      <w:b/>
      <w:bCs/>
      <w:sz w:val="32"/>
    </w:rPr>
  </w:style>
  <w:style w:type="paragraph" w:styleId="Corpodetexto2">
    <w:name w:val="Corpo de texto 2"/>
    <w:basedOn w:val="Normal"/>
    <w:qFormat/>
    <w:pPr>
      <w:jc w:val="both"/>
    </w:pPr>
    <w:rPr>
      <w:i/>
      <w:sz w:val="26"/>
    </w:rPr>
  </w:style>
  <w:style w:type="paragraph" w:styleId="Corpodetexto3">
    <w:name w:val="Corpo de texto 3"/>
    <w:basedOn w:val="Normal"/>
    <w:qFormat/>
    <w:pPr>
      <w:jc w:val="both"/>
    </w:pPr>
    <w:rPr>
      <w:color w:val="FF0000"/>
      <w:sz w:val="26"/>
    </w:rPr>
  </w:style>
  <w:style w:type="paragraph" w:styleId="Recuodecorpodetexto2">
    <w:name w:val="Recuo de corpo de texto 2"/>
    <w:basedOn w:val="Normal"/>
    <w:qFormat/>
    <w:pPr>
      <w:ind w:left="0" w:right="0" w:firstLine="1418"/>
      <w:jc w:val="both"/>
    </w:pPr>
    <w:rPr>
      <w:rFonts w:ascii="Arial" w:hAnsi="Arial" w:cs="Arial"/>
      <w:sz w:val="23"/>
    </w:rPr>
  </w:style>
  <w:style w:type="paragraph" w:styleId="Recuodecorpodetexto3">
    <w:name w:val="Recuo de corpo de texto 3"/>
    <w:basedOn w:val="Normal"/>
    <w:qFormat/>
    <w:pPr>
      <w:ind w:left="0" w:right="0" w:firstLine="1440"/>
      <w:jc w:val="both"/>
    </w:pPr>
    <w:rPr>
      <w:rFonts w:ascii="Arial" w:hAnsi="Arial" w:cs="Arial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Normal1">
    <w:name w:val="Normal1"/>
    <w:basedOn w:val="Normal"/>
    <w:qFormat/>
    <w:pPr>
      <w:widowControl w:val="false"/>
      <w:suppressAutoHyphens w:val="true"/>
    </w:pPr>
    <w:rPr>
      <w:lang w:bidi="pt-BR"/>
    </w:rPr>
  </w:style>
  <w:style w:type="paragraph" w:styleId="Heading1">
    <w:name w:val="heading 1"/>
    <w:basedOn w:val="Normal1"/>
    <w:next w:val="Normal1"/>
    <w:qFormat/>
    <w:pPr>
      <w:keepNext w:val="true"/>
      <w:numPr>
        <w:ilvl w:val="0"/>
        <w:numId w:val="4"/>
      </w:numPr>
      <w:jc w:val="right"/>
      <w:outlineLvl w:val="0"/>
    </w:pPr>
    <w:rPr>
      <w:sz w:val="36"/>
      <w:szCs w:val="36"/>
    </w:rPr>
  </w:style>
  <w:style w:type="paragraph" w:styleId="TextosemFormatao">
    <w:name w:val="Texto sem Formatação"/>
    <w:basedOn w:val="Normal"/>
    <w:qFormat/>
    <w:pPr/>
    <w:rPr>
      <w:rFonts w:ascii="Courier New" w:hAnsi="Courier New" w:cs="Courier New"/>
    </w:rPr>
  </w:style>
  <w:style w:type="paragraph" w:styleId="Tabela">
    <w:name w:val="Tabela"/>
    <w:basedOn w:val="Corpodotexto"/>
    <w:qFormat/>
    <w:pPr>
      <w:spacing w:before="60" w:after="60"/>
      <w:jc w:val="left"/>
    </w:pPr>
    <w:rPr>
      <w:rFonts w:ascii="Arial" w:hAnsi="Arial" w:cs="Arial"/>
      <w:sz w:val="22"/>
    </w:rPr>
  </w:style>
  <w:style w:type="paragraph" w:styleId="Corpodetextodepareceres">
    <w:name w:val="Corpo de texto de pareceres"/>
    <w:basedOn w:val="Normal"/>
    <w:qFormat/>
    <w:pPr>
      <w:ind w:left="0" w:right="0" w:firstLine="1418"/>
      <w:jc w:val="both"/>
    </w:pPr>
    <w:rPr>
      <w:rFonts w:ascii="Arial" w:hAnsi="Arial" w:cs="Arial"/>
      <w:sz w:val="24"/>
    </w:rPr>
  </w:style>
  <w:style w:type="paragraph" w:styleId="NormalWeb">
    <w:name w:val="Normal (Web)"/>
    <w:basedOn w:val="Normal"/>
    <w:qFormat/>
    <w:pPr>
      <w:spacing w:before="100" w:after="100"/>
    </w:pPr>
    <w:rPr>
      <w:color w:val="000000"/>
      <w:sz w:val="24"/>
      <w:szCs w:val="24"/>
    </w:rPr>
  </w:style>
  <w:style w:type="paragraph" w:styleId="Textbody">
    <w:name w:val="Text body"/>
    <w:basedOn w:val="Normal"/>
    <w:qFormat/>
    <w:pPr>
      <w:suppressAutoHyphens w:val="true"/>
      <w:spacing w:lineRule="auto" w:line="276" w:before="0" w:after="140"/>
      <w:textAlignment w:val="baseline"/>
    </w:pPr>
    <w:rPr>
      <w:rFonts w:ascii="Liberation Serif;Times New Roman" w:hAnsi="Liberation Serif;Times New Roman" w:eastAsia="NSimSun" w:cs="Arial"/>
      <w:kern w:val="2"/>
      <w:sz w:val="24"/>
      <w:szCs w:val="24"/>
      <w:lang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Calibri" w:hAnsi="Calibri" w:eastAsia="NSimSun" w:cs="Arial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LibreOffice/6.2.2.2$Windows_X86_64 LibreOffice_project/2b840030fec2aae0fd2658d8d4f9548af4e3518d</Application>
  <Pages>3</Pages>
  <Words>613</Words>
  <Characters>3283</Characters>
  <CharactersWithSpaces>3930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2019-03-01T14:12:00Z</dcterms:created>
  <dc:creator>Fiscais</dc:creator>
  <dc:description/>
  <cp:keywords/>
  <dc:language>pt-BR</dc:language>
  <cp:lastModifiedBy/>
  <dcterms:modified xsi:type="dcterms:W3CDTF">2021-04-23T13:25:00Z</dcterms:modified>
  <cp:revision>23</cp:revision>
  <dc:subject/>
  <dc:title> </dc:title>
</cp:coreProperties>
</file>