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A87088">
        <w:rPr>
          <w:rFonts w:ascii="Garamond" w:hAnsi="Garamond" w:cs="Times New Roman"/>
          <w:b/>
          <w:sz w:val="26"/>
          <w:szCs w:val="23"/>
        </w:rPr>
        <w:t>30</w:t>
      </w:r>
      <w:r w:rsidR="003B0C50">
        <w:rPr>
          <w:rFonts w:ascii="Garamond" w:hAnsi="Garamond" w:cs="Times New Roman"/>
          <w:b/>
          <w:sz w:val="26"/>
          <w:szCs w:val="23"/>
        </w:rPr>
        <w:t>/</w:t>
      </w:r>
      <w:r w:rsidR="00E8154A">
        <w:rPr>
          <w:rFonts w:ascii="Garamond" w:hAnsi="Garamond" w:cs="Times New Roman"/>
          <w:b/>
          <w:sz w:val="26"/>
          <w:szCs w:val="23"/>
        </w:rPr>
        <w:t>2018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3A6993">
        <w:rPr>
          <w:rFonts w:ascii="Garamond" w:hAnsi="Garamond" w:cs="Times New Roman"/>
          <w:sz w:val="26"/>
          <w:szCs w:val="23"/>
        </w:rPr>
        <w:t>r</w:t>
      </w:r>
      <w:r w:rsidR="00824F23">
        <w:rPr>
          <w:rFonts w:ascii="Garamond" w:hAnsi="Garamond" w:cs="Times New Roman"/>
          <w:sz w:val="26"/>
          <w:szCs w:val="23"/>
        </w:rPr>
        <w:t xml:space="preserve">ojeto </w:t>
      </w:r>
      <w:r w:rsidR="00D13061">
        <w:rPr>
          <w:rFonts w:ascii="Garamond" w:hAnsi="Garamond" w:cs="Times New Roman"/>
          <w:sz w:val="26"/>
          <w:szCs w:val="23"/>
        </w:rPr>
        <w:t>de Lei nº. 47</w:t>
      </w:r>
      <w:r w:rsidR="00A8092D">
        <w:rPr>
          <w:rFonts w:ascii="Garamond" w:hAnsi="Garamond" w:cs="Times New Roman"/>
          <w:sz w:val="26"/>
          <w:szCs w:val="23"/>
        </w:rPr>
        <w:t>0</w:t>
      </w:r>
      <w:r w:rsidR="00A87088">
        <w:rPr>
          <w:rFonts w:ascii="Garamond" w:hAnsi="Garamond" w:cs="Times New Roman"/>
          <w:sz w:val="26"/>
          <w:szCs w:val="23"/>
        </w:rPr>
        <w:t>1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E8154A">
        <w:rPr>
          <w:rFonts w:ascii="Garamond" w:hAnsi="Garamond" w:cs="Times New Roman"/>
          <w:sz w:val="26"/>
          <w:szCs w:val="23"/>
        </w:rPr>
        <w:t>8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7088">
        <w:rPr>
          <w:rFonts w:ascii="Garamond" w:hAnsi="Garamond" w:cs="Times New Roman"/>
          <w:sz w:val="26"/>
          <w:szCs w:val="23"/>
        </w:rPr>
        <w:t xml:space="preserve">Autoriza </w:t>
      </w:r>
      <w:r w:rsidR="00716F6A">
        <w:rPr>
          <w:rFonts w:ascii="Garamond" w:hAnsi="Garamond" w:cs="Times New Roman"/>
          <w:sz w:val="26"/>
          <w:szCs w:val="23"/>
        </w:rPr>
        <w:t>dação em pagamento a Antônio José Teles o imóvel que identifica</w:t>
      </w:r>
      <w:r w:rsidR="004F14A0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A8092D">
        <w:rPr>
          <w:rFonts w:ascii="Garamond" w:hAnsi="Garamond" w:cs="Times New Roman"/>
          <w:sz w:val="26"/>
          <w:szCs w:val="23"/>
        </w:rPr>
        <w:t>EXECUTIVO MUNICIPAL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="00A8092D">
        <w:rPr>
          <w:rFonts w:ascii="Garamond" w:hAnsi="Garamond" w:cs="Times New Roman"/>
          <w:b/>
          <w:sz w:val="26"/>
          <w:szCs w:val="23"/>
        </w:rPr>
        <w:t xml:space="preserve">:      </w:t>
      </w:r>
      <w:r w:rsidR="00A8092D">
        <w:rPr>
          <w:rFonts w:ascii="Garamond" w:hAnsi="Garamond" w:cs="Times New Roman"/>
          <w:sz w:val="26"/>
          <w:szCs w:val="23"/>
        </w:rPr>
        <w:t xml:space="preserve">Ver. </w:t>
      </w:r>
      <w:r w:rsidR="004F4645">
        <w:rPr>
          <w:rFonts w:ascii="Garamond" w:hAnsi="Garamond" w:cs="Times New Roman"/>
          <w:sz w:val="26"/>
          <w:szCs w:val="23"/>
        </w:rPr>
        <w:t>VICENTE DE PAULA SOUSA</w:t>
      </w:r>
      <w:r w:rsidR="00D13061">
        <w:rPr>
          <w:rFonts w:ascii="Garamond" w:hAnsi="Garamond" w:cs="Times New Roman"/>
          <w:sz w:val="26"/>
          <w:szCs w:val="23"/>
        </w:rPr>
        <w:t xml:space="preserve"> 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D13061" w:rsidRDefault="00D13061" w:rsidP="00D13061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</w:t>
      </w:r>
    </w:p>
    <w:p w:rsidR="00D13061" w:rsidRPr="0050154E" w:rsidRDefault="00D13061" w:rsidP="00D13061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</w:t>
      </w:r>
      <w:r>
        <w:rPr>
          <w:rFonts w:ascii="Garamond" w:hAnsi="Garamond" w:cs="Times New Roman"/>
          <w:sz w:val="26"/>
          <w:szCs w:val="23"/>
        </w:rPr>
        <w:tab/>
      </w:r>
      <w:r w:rsidR="00155649" w:rsidRPr="0050154E">
        <w:rPr>
          <w:rFonts w:ascii="Garamond" w:hAnsi="Garamond" w:cs="Times New Roman"/>
          <w:sz w:val="26"/>
          <w:szCs w:val="23"/>
        </w:rPr>
        <w:t xml:space="preserve">Trata-se de projeto de </w:t>
      </w:r>
      <w:r w:rsidR="00A8092D">
        <w:rPr>
          <w:rFonts w:ascii="Garamond" w:hAnsi="Garamond" w:cs="Times New Roman"/>
          <w:sz w:val="26"/>
          <w:szCs w:val="23"/>
        </w:rPr>
        <w:t xml:space="preserve">Lei </w:t>
      </w:r>
      <w:r w:rsidR="00A8092D" w:rsidRPr="0050154E">
        <w:rPr>
          <w:rFonts w:ascii="Garamond" w:hAnsi="Garamond" w:cs="Times New Roman"/>
          <w:sz w:val="26"/>
          <w:szCs w:val="23"/>
        </w:rPr>
        <w:t>que</w:t>
      </w:r>
      <w:r w:rsidR="00416E34">
        <w:rPr>
          <w:rFonts w:ascii="Garamond" w:hAnsi="Garamond" w:cs="Times New Roman"/>
          <w:sz w:val="26"/>
          <w:szCs w:val="23"/>
        </w:rPr>
        <w:t xml:space="preserve"> </w:t>
      </w:r>
      <w:r w:rsidR="00716F6A">
        <w:rPr>
          <w:rFonts w:ascii="Garamond" w:hAnsi="Garamond" w:cs="Times New Roman"/>
          <w:sz w:val="26"/>
          <w:szCs w:val="23"/>
        </w:rPr>
        <w:t>“Autoriza dação em pagamento a Antônio José Teles o imóvel que identifica.</w:t>
      </w:r>
    </w:p>
    <w:p w:rsidR="00155649" w:rsidRPr="0050154E" w:rsidRDefault="00155649" w:rsidP="00D1306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</w:t>
      </w:r>
      <w:r w:rsidR="00416E34">
        <w:rPr>
          <w:rFonts w:ascii="Garamond" w:hAnsi="Garamond" w:cs="Times New Roman"/>
          <w:sz w:val="26"/>
          <w:szCs w:val="24"/>
        </w:rPr>
        <w:t>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r w:rsidR="00416E34">
        <w:rPr>
          <w:rFonts w:ascii="Garamond" w:hAnsi="Garamond" w:cs="Times New Roman"/>
          <w:sz w:val="26"/>
          <w:szCs w:val="24"/>
        </w:rPr>
        <w:t>A</w:t>
      </w:r>
      <w:r w:rsidRPr="0050154E">
        <w:rPr>
          <w:rFonts w:ascii="Garamond" w:hAnsi="Garamond" w:cs="Times New Roman"/>
          <w:sz w:val="26"/>
          <w:szCs w:val="24"/>
        </w:rPr>
        <w:t>r</w:t>
      </w:r>
      <w:r w:rsidR="00416E34">
        <w:rPr>
          <w:rFonts w:ascii="Garamond" w:hAnsi="Garamond" w:cs="Times New Roman"/>
          <w:sz w:val="26"/>
          <w:szCs w:val="24"/>
        </w:rPr>
        <w:t>tigo</w:t>
      </w:r>
      <w:r w:rsidRPr="0050154E">
        <w:rPr>
          <w:rFonts w:ascii="Garamond" w:hAnsi="Garamond" w:cs="Times New Roman"/>
          <w:sz w:val="26"/>
          <w:szCs w:val="24"/>
        </w:rPr>
        <w:t>s. 12 e 67 da Lei Orgânica Municipal, segundo os quais compete privativamente ao Município Legislar sobre matéria de interesse local.</w:t>
      </w:r>
    </w:p>
    <w:p w:rsidR="00155649" w:rsidRPr="00E93E59" w:rsidRDefault="0050154E" w:rsidP="00416E34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da matéria.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E8154A">
        <w:rPr>
          <w:rFonts w:ascii="Garamond" w:hAnsi="Garamond" w:cs="Times New Roman"/>
          <w:sz w:val="26"/>
          <w:szCs w:val="23"/>
        </w:rPr>
        <w:t>19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E8154A">
        <w:rPr>
          <w:rFonts w:ascii="Garamond" w:hAnsi="Garamond" w:cs="Times New Roman"/>
          <w:sz w:val="26"/>
          <w:szCs w:val="23"/>
        </w:rPr>
        <w:t>feverei</w:t>
      </w:r>
      <w:r w:rsidR="0026094C">
        <w:rPr>
          <w:rFonts w:ascii="Garamond" w:hAnsi="Garamond" w:cs="Times New Roman"/>
          <w:sz w:val="26"/>
          <w:szCs w:val="23"/>
        </w:rPr>
        <w:t>ro</w:t>
      </w:r>
      <w:r w:rsidR="00E8154A">
        <w:rPr>
          <w:rFonts w:ascii="Garamond" w:hAnsi="Garamond" w:cs="Times New Roman"/>
          <w:sz w:val="26"/>
          <w:szCs w:val="23"/>
        </w:rPr>
        <w:t xml:space="preserve"> de 2018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716F6A" w:rsidRDefault="00716F6A" w:rsidP="00716F6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Vicente de Paula Sousa</w:t>
      </w:r>
    </w:p>
    <w:p w:rsidR="004F4645" w:rsidRPr="004F4645" w:rsidRDefault="004F4645" w:rsidP="00716F6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Relator</w:t>
      </w:r>
    </w:p>
    <w:p w:rsidR="00716F6A" w:rsidRDefault="00716F6A" w:rsidP="004F4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4F4645" w:rsidRPr="004F4645" w:rsidRDefault="004F4645" w:rsidP="004F46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BF16ED" w:rsidRDefault="00EC1D3C" w:rsidP="00BF16E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Isaias Martins de Oliveira</w:t>
      </w:r>
      <w:r w:rsidR="000455E5">
        <w:rPr>
          <w:rFonts w:ascii="Garamond" w:hAnsi="Garamond" w:cs="Times New Roman"/>
          <w:sz w:val="26"/>
          <w:szCs w:val="23"/>
        </w:rPr>
        <w:t xml:space="preserve"> </w:t>
      </w:r>
    </w:p>
    <w:p w:rsidR="004F4645" w:rsidRPr="004F4645" w:rsidRDefault="004F4645" w:rsidP="004F464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Membro CLJR</w:t>
      </w:r>
    </w:p>
    <w:p w:rsidR="004F4645" w:rsidRDefault="004F4645" w:rsidP="00BF16E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4F4645" w:rsidRDefault="004F4645" w:rsidP="00BF16E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16F6A" w:rsidRDefault="00716F6A" w:rsidP="00716F6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716F6A" w:rsidRPr="004F4645" w:rsidRDefault="004F4645" w:rsidP="00416E3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Membro CLJR</w:t>
      </w:r>
    </w:p>
    <w:sectPr w:rsidR="00716F6A" w:rsidRPr="004F4645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455E5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3CEC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1CBF"/>
    <w:rsid w:val="00144E33"/>
    <w:rsid w:val="00155649"/>
    <w:rsid w:val="0015676C"/>
    <w:rsid w:val="00162200"/>
    <w:rsid w:val="00163A0C"/>
    <w:rsid w:val="00164DA4"/>
    <w:rsid w:val="00183C95"/>
    <w:rsid w:val="0019688D"/>
    <w:rsid w:val="001A244B"/>
    <w:rsid w:val="001A5DF7"/>
    <w:rsid w:val="001A6BD1"/>
    <w:rsid w:val="001A7DF8"/>
    <w:rsid w:val="001B2F4E"/>
    <w:rsid w:val="001B40E0"/>
    <w:rsid w:val="001C16E1"/>
    <w:rsid w:val="001C7592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094C"/>
    <w:rsid w:val="00263A4A"/>
    <w:rsid w:val="00263E1E"/>
    <w:rsid w:val="00281F4B"/>
    <w:rsid w:val="002843F5"/>
    <w:rsid w:val="002900A1"/>
    <w:rsid w:val="002B265E"/>
    <w:rsid w:val="002C223F"/>
    <w:rsid w:val="002C667D"/>
    <w:rsid w:val="002E7138"/>
    <w:rsid w:val="002F6332"/>
    <w:rsid w:val="003160AA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563E4"/>
    <w:rsid w:val="003779B2"/>
    <w:rsid w:val="003A337F"/>
    <w:rsid w:val="003A5C1F"/>
    <w:rsid w:val="003A6993"/>
    <w:rsid w:val="003B0C50"/>
    <w:rsid w:val="003B218E"/>
    <w:rsid w:val="003B6D99"/>
    <w:rsid w:val="003D4A72"/>
    <w:rsid w:val="003E4D7F"/>
    <w:rsid w:val="003E618E"/>
    <w:rsid w:val="003F1A29"/>
    <w:rsid w:val="0040107C"/>
    <w:rsid w:val="00405D64"/>
    <w:rsid w:val="00416E3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3FC8"/>
    <w:rsid w:val="004B5C68"/>
    <w:rsid w:val="004D0D8F"/>
    <w:rsid w:val="004D4D13"/>
    <w:rsid w:val="004D52AB"/>
    <w:rsid w:val="004E0649"/>
    <w:rsid w:val="004E1AA9"/>
    <w:rsid w:val="004E5C88"/>
    <w:rsid w:val="004F035C"/>
    <w:rsid w:val="004F14A0"/>
    <w:rsid w:val="004F2744"/>
    <w:rsid w:val="004F41A2"/>
    <w:rsid w:val="004F42AA"/>
    <w:rsid w:val="004F4645"/>
    <w:rsid w:val="0050154E"/>
    <w:rsid w:val="00504D75"/>
    <w:rsid w:val="0050699A"/>
    <w:rsid w:val="0051233B"/>
    <w:rsid w:val="00517D7C"/>
    <w:rsid w:val="00517FBC"/>
    <w:rsid w:val="00561D89"/>
    <w:rsid w:val="00581DB4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E3230"/>
    <w:rsid w:val="005F68E0"/>
    <w:rsid w:val="0060461D"/>
    <w:rsid w:val="006131B1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A58C9"/>
    <w:rsid w:val="006B08C0"/>
    <w:rsid w:val="006B0E8A"/>
    <w:rsid w:val="006C15E2"/>
    <w:rsid w:val="006C3F8E"/>
    <w:rsid w:val="006D28B9"/>
    <w:rsid w:val="006D3388"/>
    <w:rsid w:val="006D66B0"/>
    <w:rsid w:val="006E38E0"/>
    <w:rsid w:val="006E4624"/>
    <w:rsid w:val="006E529E"/>
    <w:rsid w:val="00702CC6"/>
    <w:rsid w:val="00702D7B"/>
    <w:rsid w:val="00707FED"/>
    <w:rsid w:val="007118B0"/>
    <w:rsid w:val="00711E1F"/>
    <w:rsid w:val="00711EF2"/>
    <w:rsid w:val="00716F6A"/>
    <w:rsid w:val="0072286B"/>
    <w:rsid w:val="00727D0B"/>
    <w:rsid w:val="00740232"/>
    <w:rsid w:val="007406B9"/>
    <w:rsid w:val="00742CC0"/>
    <w:rsid w:val="0075015A"/>
    <w:rsid w:val="0076185E"/>
    <w:rsid w:val="00762B5E"/>
    <w:rsid w:val="007632CC"/>
    <w:rsid w:val="00763FA7"/>
    <w:rsid w:val="0076787A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4F23"/>
    <w:rsid w:val="0082508A"/>
    <w:rsid w:val="0087287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0DFD"/>
    <w:rsid w:val="008E2043"/>
    <w:rsid w:val="008E319E"/>
    <w:rsid w:val="008F0BC9"/>
    <w:rsid w:val="00904224"/>
    <w:rsid w:val="00907E3B"/>
    <w:rsid w:val="00917D38"/>
    <w:rsid w:val="009229F1"/>
    <w:rsid w:val="00930684"/>
    <w:rsid w:val="00932B36"/>
    <w:rsid w:val="00934226"/>
    <w:rsid w:val="0094156A"/>
    <w:rsid w:val="0095111C"/>
    <w:rsid w:val="00952A79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A2BA8"/>
    <w:rsid w:val="009A50DC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37BD6"/>
    <w:rsid w:val="00A460AC"/>
    <w:rsid w:val="00A470B3"/>
    <w:rsid w:val="00A52D55"/>
    <w:rsid w:val="00A5430C"/>
    <w:rsid w:val="00A6090A"/>
    <w:rsid w:val="00A70B3B"/>
    <w:rsid w:val="00A728AC"/>
    <w:rsid w:val="00A8092D"/>
    <w:rsid w:val="00A80B32"/>
    <w:rsid w:val="00A81F12"/>
    <w:rsid w:val="00A82A2F"/>
    <w:rsid w:val="00A87088"/>
    <w:rsid w:val="00A969C8"/>
    <w:rsid w:val="00AA0EFC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2734"/>
    <w:rsid w:val="00B25D3B"/>
    <w:rsid w:val="00B326AA"/>
    <w:rsid w:val="00B47E5E"/>
    <w:rsid w:val="00B5648E"/>
    <w:rsid w:val="00B636A1"/>
    <w:rsid w:val="00B72B50"/>
    <w:rsid w:val="00B80602"/>
    <w:rsid w:val="00B840AE"/>
    <w:rsid w:val="00B9353D"/>
    <w:rsid w:val="00BB4154"/>
    <w:rsid w:val="00BC772C"/>
    <w:rsid w:val="00BD368B"/>
    <w:rsid w:val="00BF16ED"/>
    <w:rsid w:val="00C008A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CF0C8E"/>
    <w:rsid w:val="00D0229D"/>
    <w:rsid w:val="00D119BB"/>
    <w:rsid w:val="00D11A0D"/>
    <w:rsid w:val="00D13061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C5908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54A"/>
    <w:rsid w:val="00E81658"/>
    <w:rsid w:val="00E93E59"/>
    <w:rsid w:val="00EA23C2"/>
    <w:rsid w:val="00EA66A0"/>
    <w:rsid w:val="00EB1CF6"/>
    <w:rsid w:val="00EB5496"/>
    <w:rsid w:val="00EB7AA4"/>
    <w:rsid w:val="00EC1D3C"/>
    <w:rsid w:val="00EC2550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66453"/>
    <w:rsid w:val="00F678C6"/>
    <w:rsid w:val="00F81931"/>
    <w:rsid w:val="00F82549"/>
    <w:rsid w:val="00F82CC4"/>
    <w:rsid w:val="00F84DCD"/>
    <w:rsid w:val="00FA2CF0"/>
    <w:rsid w:val="00FA3066"/>
    <w:rsid w:val="00FC6457"/>
    <w:rsid w:val="00FD60AE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23EB-A768-4825-852C-82F10D6D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Juridico</cp:lastModifiedBy>
  <cp:revision>2</cp:revision>
  <cp:lastPrinted>2018-02-22T14:16:00Z</cp:lastPrinted>
  <dcterms:created xsi:type="dcterms:W3CDTF">2018-08-01T18:21:00Z</dcterms:created>
  <dcterms:modified xsi:type="dcterms:W3CDTF">2018-08-01T18:21:00Z</dcterms:modified>
</cp:coreProperties>
</file>