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3A0" w:rsidRDefault="009D63A0" w:rsidP="009D63A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9D63A0" w:rsidRPr="006B2FA7" w:rsidRDefault="009D63A0" w:rsidP="009D63A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9D63A0" w:rsidRPr="006B2FA7" w:rsidRDefault="009D63A0" w:rsidP="00CA243C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nº 0</w:t>
      </w:r>
      <w:r w:rsidR="00D43C08">
        <w:rPr>
          <w:rFonts w:ascii="Garamond" w:hAnsi="Garamond" w:cs="Times New Roman"/>
          <w:b/>
          <w:sz w:val="24"/>
          <w:szCs w:val="24"/>
        </w:rPr>
        <w:t>0</w:t>
      </w:r>
      <w:r w:rsidR="00AE348C">
        <w:rPr>
          <w:rFonts w:ascii="Garamond" w:hAnsi="Garamond" w:cs="Times New Roman"/>
          <w:b/>
          <w:sz w:val="24"/>
          <w:szCs w:val="24"/>
        </w:rPr>
        <w:t>4</w:t>
      </w:r>
      <w:r w:rsidRPr="006B2FA7">
        <w:rPr>
          <w:rFonts w:ascii="Garamond" w:hAnsi="Garamond" w:cs="Times New Roman"/>
          <w:b/>
          <w:sz w:val="24"/>
          <w:szCs w:val="24"/>
        </w:rPr>
        <w:t>/201</w:t>
      </w:r>
      <w:r w:rsidR="00D43C08">
        <w:rPr>
          <w:rFonts w:ascii="Garamond" w:hAnsi="Garamond" w:cs="Times New Roman"/>
          <w:b/>
          <w:sz w:val="24"/>
          <w:szCs w:val="24"/>
        </w:rPr>
        <w:t>8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9D63A0" w:rsidRDefault="009D63A0" w:rsidP="00CA243C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>:     Projeto de Lei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CA243C">
        <w:rPr>
          <w:rFonts w:ascii="Garamond" w:hAnsi="Garamond" w:cs="Times New Roman"/>
          <w:sz w:val="24"/>
          <w:szCs w:val="24"/>
        </w:rPr>
        <w:t xml:space="preserve">Complementar </w:t>
      </w:r>
      <w:r w:rsidRPr="006B2FA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="00CA243C">
        <w:rPr>
          <w:rFonts w:ascii="Garamond" w:hAnsi="Garamond" w:cs="Times New Roman"/>
          <w:sz w:val="24"/>
          <w:szCs w:val="24"/>
        </w:rPr>
        <w:t>73</w:t>
      </w:r>
      <w:r w:rsidR="00AE348C">
        <w:rPr>
          <w:rFonts w:ascii="Garamond" w:hAnsi="Garamond" w:cs="Times New Roman"/>
          <w:sz w:val="24"/>
          <w:szCs w:val="24"/>
        </w:rPr>
        <w:t>5</w:t>
      </w:r>
      <w:r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D43C08">
        <w:rPr>
          <w:rFonts w:ascii="Garamond" w:hAnsi="Garamond" w:cs="Times New Roman"/>
          <w:sz w:val="24"/>
          <w:szCs w:val="24"/>
        </w:rPr>
        <w:t>2018</w:t>
      </w:r>
      <w:r w:rsidRPr="006B2FA7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que “</w:t>
      </w:r>
      <w:r w:rsidR="00AE348C">
        <w:rPr>
          <w:rFonts w:ascii="Garamond" w:hAnsi="Garamond" w:cs="Times New Roman"/>
          <w:sz w:val="24"/>
          <w:szCs w:val="24"/>
        </w:rPr>
        <w:t>Acrescenta §§ 3º, 4º e 5º ao Art. 65, da Lei Complementar n. 271, de 1º de novembro de 2006</w:t>
      </w:r>
      <w:r>
        <w:rPr>
          <w:rFonts w:ascii="Garamond" w:hAnsi="Garamond" w:cs="Times New Roman"/>
          <w:sz w:val="24"/>
          <w:szCs w:val="24"/>
        </w:rPr>
        <w:t>”.</w:t>
      </w:r>
    </w:p>
    <w:p w:rsidR="00D43C08" w:rsidRPr="006B2FA7" w:rsidRDefault="00D43C08" w:rsidP="009D63A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</w:p>
    <w:p w:rsidR="009D63A0" w:rsidRPr="006B2FA7" w:rsidRDefault="009D63A0" w:rsidP="009D63A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>
        <w:rPr>
          <w:rFonts w:ascii="Garamond" w:hAnsi="Garamond" w:cs="Times New Roman"/>
          <w:sz w:val="24"/>
          <w:szCs w:val="24"/>
        </w:rPr>
        <w:t xml:space="preserve">:     </w:t>
      </w:r>
      <w:r w:rsidR="00CA243C">
        <w:rPr>
          <w:rFonts w:ascii="Garamond" w:hAnsi="Garamond" w:cs="Times New Roman"/>
          <w:sz w:val="24"/>
          <w:szCs w:val="24"/>
        </w:rPr>
        <w:t>VICENTE DE PAULA SOUZA</w:t>
      </w:r>
    </w:p>
    <w:p w:rsidR="009D63A0" w:rsidRDefault="009D63A0" w:rsidP="009D63A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Pr="006B2FA7">
        <w:rPr>
          <w:rFonts w:ascii="Garamond" w:hAnsi="Garamond" w:cs="Times New Roman"/>
          <w:sz w:val="24"/>
          <w:szCs w:val="24"/>
        </w:rPr>
        <w:t xml:space="preserve">:      </w:t>
      </w:r>
      <w:r w:rsidR="00CA243C">
        <w:rPr>
          <w:rFonts w:ascii="Garamond" w:hAnsi="Garamond" w:cs="Times New Roman"/>
          <w:sz w:val="24"/>
          <w:szCs w:val="24"/>
        </w:rPr>
        <w:t>OTAVIANO MARQUES DE AMORIM</w:t>
      </w:r>
    </w:p>
    <w:p w:rsidR="009D63A0" w:rsidRPr="006B2FA7" w:rsidRDefault="009D63A0" w:rsidP="009D63A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D63A0" w:rsidRPr="006B2FA7" w:rsidRDefault="009D63A0" w:rsidP="009D63A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AE348C" w:rsidRDefault="009D63A0" w:rsidP="00AE348C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Trata-se de projeto de lei, </w:t>
      </w:r>
      <w:r w:rsidR="00D43C08">
        <w:rPr>
          <w:rFonts w:ascii="Garamond" w:hAnsi="Garamond" w:cs="Times New Roman"/>
          <w:sz w:val="24"/>
          <w:szCs w:val="24"/>
        </w:rPr>
        <w:t xml:space="preserve">que </w:t>
      </w:r>
      <w:r w:rsidR="00AE348C">
        <w:rPr>
          <w:rFonts w:ascii="Garamond" w:hAnsi="Garamond" w:cs="Times New Roman"/>
          <w:sz w:val="24"/>
          <w:szCs w:val="24"/>
        </w:rPr>
        <w:t>a</w:t>
      </w:r>
      <w:r w:rsidR="00AE348C">
        <w:rPr>
          <w:rFonts w:ascii="Garamond" w:hAnsi="Garamond" w:cs="Times New Roman"/>
          <w:sz w:val="24"/>
          <w:szCs w:val="24"/>
        </w:rPr>
        <w:t>crescenta §§ 3º, 4º e 5º ao Art. 65, da Lei Complementar n. 271, de 1º de novembro de 2006</w:t>
      </w:r>
      <w:r w:rsidR="00AE348C">
        <w:rPr>
          <w:rFonts w:ascii="Garamond" w:hAnsi="Garamond" w:cs="Times New Roman"/>
          <w:sz w:val="24"/>
          <w:szCs w:val="24"/>
        </w:rPr>
        <w:t>, que tem por objetivo estabelecer os critérios para parcelamento da chamada outorga onerosa.</w:t>
      </w:r>
    </w:p>
    <w:p w:rsidR="009D63A0" w:rsidRDefault="009D63A0" w:rsidP="00AE348C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9D63A0" w:rsidRDefault="009D63A0" w:rsidP="00E17B23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Seguindo a ordem e sistemática adotada pela CLJR, coube a est</w:t>
      </w:r>
      <w:r w:rsidR="00E17B2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Vereador a relatoria.</w:t>
      </w:r>
    </w:p>
    <w:p w:rsidR="009D63A0" w:rsidRDefault="009D63A0" w:rsidP="009D63A0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</w:p>
    <w:p w:rsidR="009D63A0" w:rsidRPr="006B2FA7" w:rsidRDefault="009D63A0" w:rsidP="009D63A0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2. Parecer e votos</w:t>
      </w:r>
    </w:p>
    <w:p w:rsidR="00E17B23" w:rsidRDefault="00E17B23" w:rsidP="00E17B23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O projeto de lei em referência se enquadra na categoria legislativa </w:t>
      </w:r>
      <w:r w:rsidR="00AE348C">
        <w:rPr>
          <w:rFonts w:ascii="Garamond" w:hAnsi="Garamond" w:cs="Arial"/>
          <w:sz w:val="24"/>
          <w:szCs w:val="24"/>
        </w:rPr>
        <w:t xml:space="preserve">de </w:t>
      </w:r>
      <w:bookmarkStart w:id="0" w:name="_GoBack"/>
      <w:bookmarkEnd w:id="0"/>
      <w:r>
        <w:rPr>
          <w:rFonts w:ascii="Garamond" w:hAnsi="Garamond" w:cs="Arial"/>
          <w:sz w:val="24"/>
          <w:szCs w:val="24"/>
        </w:rPr>
        <w:t>lei complementar, a teor do que dispõe a regra estampada no artigo 72 da Lei Orgânica.</w:t>
      </w:r>
    </w:p>
    <w:p w:rsidR="00E17B23" w:rsidRDefault="00E17B23" w:rsidP="00E17B23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No que tange a competência legislativa, constata-se que o projeto está em consonância com os preceitos contidos no art. 30, I, da Constituição Federal e </w:t>
      </w:r>
      <w:proofErr w:type="spellStart"/>
      <w:r>
        <w:rPr>
          <w:rFonts w:ascii="Garamond" w:hAnsi="Garamond" w:cs="Arial"/>
          <w:sz w:val="24"/>
          <w:szCs w:val="24"/>
        </w:rPr>
        <w:t>arts</w:t>
      </w:r>
      <w:proofErr w:type="spellEnd"/>
      <w:r>
        <w:rPr>
          <w:rFonts w:ascii="Garamond" w:hAnsi="Garamond" w:cs="Arial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E17B23" w:rsidRDefault="00E17B23" w:rsidP="00E17B23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Constata-se, também, que a matéria não integra o campo reservado à iniciativa exclusiva do Executivo Municipal, consoante interpretação do art. 73 da Lei Orgânica de Patos de Minas, sendo, portanto, legítima a iniciativa por parte do Legislativo.</w:t>
      </w:r>
    </w:p>
    <w:p w:rsidR="00E17B23" w:rsidRDefault="00E17B23" w:rsidP="00E17B23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9D63A0" w:rsidRPr="006A7AFF" w:rsidRDefault="00E17B23" w:rsidP="009D63A0">
      <w:pPr>
        <w:spacing w:after="60" w:line="240" w:lineRule="auto"/>
        <w:ind w:firstLine="705"/>
        <w:jc w:val="both"/>
        <w:rPr>
          <w:rFonts w:ascii="Garamond" w:hAnsi="Garamond" w:cs="Times New Roman"/>
          <w:bCs/>
          <w:sz w:val="24"/>
          <w:szCs w:val="24"/>
        </w:rPr>
      </w:pPr>
      <w:r w:rsidRPr="00E17B23">
        <w:rPr>
          <w:rFonts w:ascii="Garamond" w:hAnsi="Garamond" w:cs="Arial"/>
          <w:sz w:val="24"/>
          <w:szCs w:val="24"/>
        </w:rPr>
        <w:t>Assim, considerando a constitucionalidade, legalidade e técnica legislativa, opinamos pela aprovação da matéria, em primeiro turno de discussão e votação.</w:t>
      </w:r>
    </w:p>
    <w:p w:rsidR="00E17B23" w:rsidRDefault="009D63A0" w:rsidP="009D63A0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</w:p>
    <w:p w:rsidR="009D63A0" w:rsidRPr="006B2FA7" w:rsidRDefault="009D63A0" w:rsidP="00E17B23">
      <w:pPr>
        <w:spacing w:after="60" w:line="240" w:lineRule="auto"/>
        <w:ind w:firstLine="709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Câmara Municipal de Patos de Minas, </w:t>
      </w:r>
      <w:r w:rsidR="00D43C08">
        <w:rPr>
          <w:rFonts w:ascii="Garamond" w:hAnsi="Garamond" w:cs="Times New Roman"/>
          <w:sz w:val="24"/>
          <w:szCs w:val="24"/>
        </w:rPr>
        <w:t>05</w:t>
      </w:r>
      <w:r w:rsidRPr="006B2FA7">
        <w:rPr>
          <w:rFonts w:ascii="Garamond" w:hAnsi="Garamond" w:cs="Times New Roman"/>
          <w:sz w:val="24"/>
          <w:szCs w:val="24"/>
        </w:rPr>
        <w:t xml:space="preserve"> de</w:t>
      </w:r>
      <w:r w:rsidR="00D43C08">
        <w:rPr>
          <w:rFonts w:ascii="Garamond" w:hAnsi="Garamond" w:cs="Times New Roman"/>
          <w:sz w:val="24"/>
          <w:szCs w:val="24"/>
        </w:rPr>
        <w:t xml:space="preserve"> fevereiro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>de 201</w:t>
      </w:r>
      <w:r w:rsidR="00D43C08">
        <w:rPr>
          <w:rFonts w:ascii="Garamond" w:hAnsi="Garamond" w:cs="Times New Roman"/>
          <w:sz w:val="24"/>
          <w:szCs w:val="24"/>
        </w:rPr>
        <w:t>8</w:t>
      </w:r>
      <w:r w:rsidRPr="006B2FA7">
        <w:rPr>
          <w:rFonts w:ascii="Garamond" w:hAnsi="Garamond" w:cs="Times New Roman"/>
          <w:sz w:val="24"/>
          <w:szCs w:val="24"/>
        </w:rPr>
        <w:t>.</w:t>
      </w:r>
    </w:p>
    <w:p w:rsidR="009D63A0" w:rsidRDefault="009D63A0" w:rsidP="009D63A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43C08" w:rsidRDefault="00D43C08" w:rsidP="009D63A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CA243C" w:rsidRDefault="00CA243C" w:rsidP="00CA2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03403E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CA243C" w:rsidRDefault="00CA243C" w:rsidP="00CA2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Relator</w:t>
      </w:r>
    </w:p>
    <w:p w:rsidR="00CA243C" w:rsidRDefault="00CA243C" w:rsidP="00CA2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9D63A0" w:rsidRPr="0003403E" w:rsidRDefault="009D63A0" w:rsidP="009D63A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03403E">
        <w:rPr>
          <w:rFonts w:ascii="Garamond" w:hAnsi="Garamond" w:cs="Times New Roman"/>
          <w:b/>
          <w:sz w:val="24"/>
          <w:szCs w:val="24"/>
        </w:rPr>
        <w:t>ISAIAS MARTINS DE OLIVEIRA</w:t>
      </w:r>
    </w:p>
    <w:p w:rsidR="009D63A0" w:rsidRDefault="001920CB" w:rsidP="0019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CA243C">
        <w:rPr>
          <w:rFonts w:ascii="Garamond" w:hAnsi="Garamond" w:cs="Times New Roman"/>
          <w:sz w:val="24"/>
          <w:szCs w:val="24"/>
        </w:rPr>
        <w:t>Membro da CLJR</w:t>
      </w:r>
    </w:p>
    <w:p w:rsidR="009D63A0" w:rsidRDefault="009D63A0" w:rsidP="009D6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9D63A0" w:rsidRPr="008D454C" w:rsidRDefault="00D43C08" w:rsidP="009D6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VICENTE DE PAULA SOUZA</w:t>
      </w:r>
    </w:p>
    <w:p w:rsidR="004723CB" w:rsidRPr="00CA243C" w:rsidRDefault="00D43C08">
      <w:pPr>
        <w:rPr>
          <w:rFonts w:ascii="Garamond" w:hAnsi="Garamond"/>
        </w:rPr>
      </w:pPr>
      <w:r>
        <w:tab/>
      </w:r>
      <w:r w:rsidRPr="00CA243C">
        <w:rPr>
          <w:rFonts w:ascii="Garamond" w:hAnsi="Garamond"/>
        </w:rPr>
        <w:t>Membro da CLJR</w:t>
      </w:r>
    </w:p>
    <w:p w:rsidR="00D43C08" w:rsidRDefault="00D43C08"/>
    <w:sectPr w:rsidR="00D43C08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A0"/>
    <w:rsid w:val="000F7271"/>
    <w:rsid w:val="00150EF7"/>
    <w:rsid w:val="001920CB"/>
    <w:rsid w:val="00345E18"/>
    <w:rsid w:val="004723CB"/>
    <w:rsid w:val="006C2210"/>
    <w:rsid w:val="00731B7E"/>
    <w:rsid w:val="008E7833"/>
    <w:rsid w:val="009D63A0"/>
    <w:rsid w:val="00AE348C"/>
    <w:rsid w:val="00CA243C"/>
    <w:rsid w:val="00D43C08"/>
    <w:rsid w:val="00E1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6E5D"/>
  <w15:chartTrackingRefBased/>
  <w15:docId w15:val="{6AF444AE-5611-4542-A55E-B62ACBA9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63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5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80CA-3D97-423C-8D1D-E3487405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Marcondes Ribeiro</cp:lastModifiedBy>
  <cp:revision>3</cp:revision>
  <cp:lastPrinted>2018-02-05T13:18:00Z</cp:lastPrinted>
  <dcterms:created xsi:type="dcterms:W3CDTF">2018-02-05T13:10:00Z</dcterms:created>
  <dcterms:modified xsi:type="dcterms:W3CDTF">2018-02-05T13:19:00Z</dcterms:modified>
</cp:coreProperties>
</file>