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8164D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="00284E75">
        <w:rPr>
          <w:rFonts w:ascii="Arial" w:hAnsi="Arial" w:cs="Arial"/>
          <w:sz w:val="24"/>
          <w:szCs w:val="24"/>
        </w:rPr>
        <w:t>069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Pr="008164D8" w:rsidRDefault="00F82549" w:rsidP="00481E2D">
      <w:pPr>
        <w:spacing w:after="12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F81931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F77436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284E75">
        <w:rPr>
          <w:rFonts w:ascii="Arial" w:hAnsi="Arial" w:cs="Arial"/>
          <w:sz w:val="24"/>
          <w:szCs w:val="24"/>
        </w:rPr>
        <w:t>3655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284E75">
        <w:rPr>
          <w:rFonts w:ascii="Arial" w:hAnsi="Arial" w:cs="Arial"/>
          <w:sz w:val="24"/>
          <w:szCs w:val="24"/>
        </w:rPr>
        <w:t>de 28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284E75">
        <w:rPr>
          <w:rFonts w:ascii="Arial" w:hAnsi="Arial" w:cs="Arial"/>
          <w:sz w:val="24"/>
          <w:szCs w:val="24"/>
        </w:rPr>
        <w:t>mai</w:t>
      </w:r>
      <w:r w:rsidRPr="008164D8">
        <w:rPr>
          <w:rFonts w:ascii="Arial" w:hAnsi="Arial" w:cs="Arial"/>
          <w:sz w:val="24"/>
          <w:szCs w:val="24"/>
        </w:rPr>
        <w:t xml:space="preserve">o de 2013, </w:t>
      </w:r>
      <w:r w:rsidR="00644BA7">
        <w:rPr>
          <w:rFonts w:ascii="Arial" w:hAnsi="Arial" w:cs="Arial"/>
          <w:sz w:val="24"/>
          <w:szCs w:val="24"/>
        </w:rPr>
        <w:t>que</w:t>
      </w:r>
      <w:r w:rsidR="00F81931" w:rsidRPr="008164D8">
        <w:rPr>
          <w:rFonts w:ascii="Arial" w:hAnsi="Arial" w:cs="Arial"/>
          <w:sz w:val="24"/>
          <w:szCs w:val="24"/>
        </w:rPr>
        <w:t xml:space="preserve"> “</w:t>
      </w:r>
      <w:r w:rsidR="00284E75">
        <w:rPr>
          <w:rFonts w:ascii="Arial" w:hAnsi="Arial" w:cs="Arial"/>
          <w:sz w:val="24"/>
          <w:szCs w:val="24"/>
        </w:rPr>
        <w:t>Autoriza servidoras públicas municipais a serem dispensadas do serviço, por um dia, para realizarem exame de mamografia e dá outras providências</w:t>
      </w:r>
      <w:r w:rsidR="00F81931" w:rsidRPr="008164D8">
        <w:rPr>
          <w:rFonts w:ascii="Arial" w:hAnsi="Arial" w:cs="Arial"/>
          <w:sz w:val="24"/>
          <w:szCs w:val="24"/>
        </w:rPr>
        <w:t>”.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644BA7">
        <w:rPr>
          <w:rFonts w:ascii="Arial" w:hAnsi="Arial" w:cs="Arial"/>
          <w:sz w:val="24"/>
          <w:szCs w:val="24"/>
        </w:rPr>
        <w:t>Vereador</w:t>
      </w:r>
      <w:r w:rsidR="00C6345E">
        <w:rPr>
          <w:rFonts w:ascii="Arial" w:hAnsi="Arial" w:cs="Arial"/>
          <w:sz w:val="24"/>
          <w:szCs w:val="24"/>
        </w:rPr>
        <w:t>a</w:t>
      </w:r>
      <w:r w:rsidR="00644BA7">
        <w:rPr>
          <w:rFonts w:ascii="Arial" w:hAnsi="Arial" w:cs="Arial"/>
          <w:sz w:val="24"/>
          <w:szCs w:val="24"/>
        </w:rPr>
        <w:t xml:space="preserve"> </w:t>
      </w:r>
      <w:r w:rsidR="00C6345E">
        <w:rPr>
          <w:rFonts w:ascii="Arial" w:hAnsi="Arial" w:cs="Arial"/>
          <w:sz w:val="24"/>
          <w:szCs w:val="24"/>
        </w:rPr>
        <w:t>EDIMÊ ERLINDA DE LIMA AVELAR</w:t>
      </w:r>
    </w:p>
    <w:p w:rsidR="00F81931" w:rsidRPr="008164D8" w:rsidRDefault="00F81931" w:rsidP="00481E2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Pr="008164D8">
        <w:rPr>
          <w:rFonts w:ascii="Arial" w:hAnsi="Arial" w:cs="Arial"/>
          <w:sz w:val="24"/>
          <w:szCs w:val="24"/>
        </w:rPr>
        <w:t xml:space="preserve">Vereador </w:t>
      </w:r>
      <w:r w:rsidR="00FB19AB">
        <w:rPr>
          <w:rFonts w:ascii="Arial" w:hAnsi="Arial" w:cs="Arial"/>
          <w:sz w:val="24"/>
          <w:szCs w:val="24"/>
        </w:rPr>
        <w:t>FRANCISCO CARLOS FRECHIANI</w:t>
      </w:r>
    </w:p>
    <w:p w:rsidR="00F81931" w:rsidRDefault="00F81931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81E2D" w:rsidRPr="008164D8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8164D8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Default="008164D8" w:rsidP="008164D8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8164D8" w:rsidRDefault="00F81931" w:rsidP="00CD0E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431DEE">
        <w:rPr>
          <w:rFonts w:ascii="Arial" w:hAnsi="Arial" w:cs="Arial"/>
          <w:sz w:val="24"/>
          <w:szCs w:val="24"/>
        </w:rPr>
        <w:t xml:space="preserve">Projeto </w:t>
      </w:r>
      <w:r w:rsidR="00644BA7" w:rsidRPr="008164D8">
        <w:rPr>
          <w:rFonts w:ascii="Arial" w:hAnsi="Arial" w:cs="Arial"/>
          <w:sz w:val="24"/>
          <w:szCs w:val="24"/>
        </w:rPr>
        <w:t xml:space="preserve">de </w:t>
      </w:r>
      <w:r w:rsidR="00644BA7">
        <w:rPr>
          <w:rFonts w:ascii="Arial" w:hAnsi="Arial" w:cs="Arial"/>
          <w:sz w:val="24"/>
          <w:szCs w:val="24"/>
        </w:rPr>
        <w:t xml:space="preserve">Lei </w:t>
      </w:r>
      <w:r w:rsidR="00644BA7" w:rsidRPr="008164D8">
        <w:rPr>
          <w:rFonts w:ascii="Arial" w:hAnsi="Arial" w:cs="Arial"/>
          <w:sz w:val="24"/>
          <w:szCs w:val="24"/>
        </w:rPr>
        <w:t>n</w:t>
      </w:r>
      <w:r w:rsidR="00F77436">
        <w:rPr>
          <w:rFonts w:ascii="Arial" w:hAnsi="Arial" w:cs="Arial"/>
          <w:sz w:val="24"/>
          <w:szCs w:val="24"/>
        </w:rPr>
        <w:t>.</w:t>
      </w:r>
      <w:r w:rsidR="00644BA7" w:rsidRPr="008164D8">
        <w:rPr>
          <w:rFonts w:ascii="Arial" w:hAnsi="Arial" w:cs="Arial"/>
          <w:sz w:val="24"/>
          <w:szCs w:val="24"/>
        </w:rPr>
        <w:t xml:space="preserve">º </w:t>
      </w:r>
      <w:r w:rsidR="00431DEE">
        <w:rPr>
          <w:rFonts w:ascii="Arial" w:hAnsi="Arial" w:cs="Arial"/>
          <w:sz w:val="24"/>
          <w:szCs w:val="24"/>
        </w:rPr>
        <w:t>3655</w:t>
      </w:r>
      <w:r w:rsidR="00644BA7" w:rsidRPr="008164D8">
        <w:rPr>
          <w:rFonts w:ascii="Arial" w:hAnsi="Arial" w:cs="Arial"/>
          <w:sz w:val="24"/>
          <w:szCs w:val="24"/>
        </w:rPr>
        <w:t xml:space="preserve">, </w:t>
      </w:r>
      <w:r w:rsidR="00431DEE">
        <w:rPr>
          <w:rFonts w:ascii="Arial" w:hAnsi="Arial" w:cs="Arial"/>
          <w:sz w:val="24"/>
          <w:szCs w:val="24"/>
        </w:rPr>
        <w:t>de 28</w:t>
      </w:r>
      <w:r w:rsidR="00644BA7">
        <w:rPr>
          <w:rFonts w:ascii="Arial" w:hAnsi="Arial" w:cs="Arial"/>
          <w:sz w:val="24"/>
          <w:szCs w:val="24"/>
        </w:rPr>
        <w:t xml:space="preserve"> </w:t>
      </w:r>
      <w:r w:rsidR="00644BA7" w:rsidRPr="008164D8">
        <w:rPr>
          <w:rFonts w:ascii="Arial" w:hAnsi="Arial" w:cs="Arial"/>
          <w:sz w:val="24"/>
          <w:szCs w:val="24"/>
        </w:rPr>
        <w:t xml:space="preserve">de </w:t>
      </w:r>
      <w:r w:rsidR="00431DEE">
        <w:rPr>
          <w:rFonts w:ascii="Arial" w:hAnsi="Arial" w:cs="Arial"/>
          <w:sz w:val="24"/>
          <w:szCs w:val="24"/>
        </w:rPr>
        <w:t>mai</w:t>
      </w:r>
      <w:r w:rsidR="00644BA7" w:rsidRPr="008164D8">
        <w:rPr>
          <w:rFonts w:ascii="Arial" w:hAnsi="Arial" w:cs="Arial"/>
          <w:sz w:val="24"/>
          <w:szCs w:val="24"/>
        </w:rPr>
        <w:t xml:space="preserve">o de 2013, </w:t>
      </w:r>
      <w:r w:rsidR="00644BA7">
        <w:rPr>
          <w:rFonts w:ascii="Arial" w:hAnsi="Arial" w:cs="Arial"/>
          <w:sz w:val="24"/>
          <w:szCs w:val="24"/>
        </w:rPr>
        <w:t>que</w:t>
      </w:r>
      <w:r w:rsidR="00644BA7" w:rsidRPr="008164D8">
        <w:rPr>
          <w:rFonts w:ascii="Arial" w:hAnsi="Arial" w:cs="Arial"/>
          <w:sz w:val="24"/>
          <w:szCs w:val="24"/>
        </w:rPr>
        <w:t xml:space="preserve"> “</w:t>
      </w:r>
      <w:r w:rsidR="00431DEE">
        <w:rPr>
          <w:rFonts w:ascii="Arial" w:hAnsi="Arial" w:cs="Arial"/>
          <w:sz w:val="24"/>
          <w:szCs w:val="24"/>
        </w:rPr>
        <w:t>Autoriza servidoras públicas municipais a serem dispensadas do serviço, por um dia, para realizarem exame de mamografia e dá outras providências”, de autoria da</w:t>
      </w:r>
      <w:r w:rsidR="00644BA7">
        <w:rPr>
          <w:rFonts w:ascii="Arial" w:hAnsi="Arial" w:cs="Arial"/>
          <w:sz w:val="24"/>
          <w:szCs w:val="24"/>
        </w:rPr>
        <w:t xml:space="preserve"> Vereador</w:t>
      </w:r>
      <w:r w:rsidR="00431DEE">
        <w:rPr>
          <w:rFonts w:ascii="Arial" w:hAnsi="Arial" w:cs="Arial"/>
          <w:sz w:val="24"/>
          <w:szCs w:val="24"/>
        </w:rPr>
        <w:t>a</w:t>
      </w:r>
      <w:r w:rsidR="00644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DEE">
        <w:rPr>
          <w:rFonts w:ascii="Arial" w:hAnsi="Arial" w:cs="Arial"/>
          <w:sz w:val="24"/>
          <w:szCs w:val="24"/>
        </w:rPr>
        <w:t>Edimê</w:t>
      </w:r>
      <w:proofErr w:type="spellEnd"/>
      <w:r w:rsidR="00431D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1DEE">
        <w:rPr>
          <w:rFonts w:ascii="Arial" w:hAnsi="Arial" w:cs="Arial"/>
          <w:sz w:val="24"/>
          <w:szCs w:val="24"/>
        </w:rPr>
        <w:t>Erlinda</w:t>
      </w:r>
      <w:proofErr w:type="spellEnd"/>
      <w:r w:rsidR="00431DEE">
        <w:rPr>
          <w:rFonts w:ascii="Arial" w:hAnsi="Arial" w:cs="Arial"/>
          <w:sz w:val="24"/>
          <w:szCs w:val="24"/>
        </w:rPr>
        <w:t xml:space="preserve"> de Lima Avelar</w:t>
      </w:r>
      <w:r w:rsidR="00644BA7">
        <w:rPr>
          <w:rFonts w:ascii="Arial" w:hAnsi="Arial" w:cs="Arial"/>
          <w:sz w:val="24"/>
          <w:szCs w:val="24"/>
        </w:rPr>
        <w:t>.</w:t>
      </w:r>
    </w:p>
    <w:p w:rsidR="005D03DB" w:rsidRDefault="00F82549" w:rsidP="00CD0EE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5D03DB"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05025C" w:rsidRPr="008164D8" w:rsidRDefault="005D03DB" w:rsidP="00CD0EE7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adotada pela CLJR, coube a este vereador Presidente a relatoria.</w:t>
      </w:r>
    </w:p>
    <w:p w:rsidR="0023130F" w:rsidRDefault="0005025C" w:rsidP="00CD0EE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D40760">
        <w:rPr>
          <w:rFonts w:ascii="Arial" w:hAnsi="Arial" w:cs="Arial"/>
          <w:sz w:val="24"/>
          <w:szCs w:val="24"/>
        </w:rPr>
        <w:t>3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D40760">
        <w:rPr>
          <w:rFonts w:ascii="Arial" w:hAnsi="Arial" w:cs="Arial"/>
          <w:sz w:val="24"/>
          <w:szCs w:val="24"/>
        </w:rPr>
        <w:t>três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Pr="008164D8">
        <w:rPr>
          <w:rFonts w:ascii="Arial" w:hAnsi="Arial" w:cs="Arial"/>
          <w:sz w:val="24"/>
          <w:szCs w:val="24"/>
        </w:rPr>
        <w:t>justificativa</w:t>
      </w:r>
      <w:r w:rsidR="0023130F">
        <w:rPr>
          <w:rFonts w:ascii="Arial" w:hAnsi="Arial" w:cs="Arial"/>
          <w:sz w:val="24"/>
          <w:szCs w:val="24"/>
        </w:rPr>
        <w:t>.</w:t>
      </w:r>
    </w:p>
    <w:p w:rsidR="00CD0EE7" w:rsidRDefault="00CD0EE7" w:rsidP="00CD0EE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3130F" w:rsidRDefault="0023130F" w:rsidP="00CD0EE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950CE2">
        <w:rPr>
          <w:rFonts w:ascii="Arial" w:hAnsi="Arial" w:cs="Arial"/>
          <w:sz w:val="24"/>
          <w:szCs w:val="24"/>
        </w:rPr>
        <w:t>Basicamente</w:t>
      </w:r>
      <w:r w:rsidR="00FB1568">
        <w:rPr>
          <w:rFonts w:ascii="Arial" w:hAnsi="Arial" w:cs="Arial"/>
          <w:sz w:val="24"/>
          <w:szCs w:val="24"/>
        </w:rPr>
        <w:t>,</w:t>
      </w:r>
      <w:r w:rsidR="00950CE2">
        <w:rPr>
          <w:rFonts w:ascii="Arial" w:hAnsi="Arial" w:cs="Arial"/>
          <w:sz w:val="24"/>
          <w:szCs w:val="24"/>
        </w:rPr>
        <w:t xml:space="preserve"> o aludido projeto</w:t>
      </w:r>
      <w:r>
        <w:rPr>
          <w:rFonts w:ascii="Arial" w:hAnsi="Arial" w:cs="Arial"/>
          <w:sz w:val="24"/>
          <w:szCs w:val="24"/>
        </w:rPr>
        <w:t xml:space="preserve"> </w:t>
      </w:r>
      <w:r w:rsidR="001C6372">
        <w:rPr>
          <w:rFonts w:ascii="Arial" w:hAnsi="Arial" w:cs="Arial"/>
          <w:sz w:val="24"/>
          <w:szCs w:val="24"/>
        </w:rPr>
        <w:t>visa</w:t>
      </w:r>
      <w:r w:rsidR="00950CE2">
        <w:rPr>
          <w:rFonts w:ascii="Arial" w:hAnsi="Arial" w:cs="Arial"/>
          <w:sz w:val="24"/>
          <w:szCs w:val="24"/>
        </w:rPr>
        <w:t xml:space="preserve"> assegurar às servidoras públicas municipais</w:t>
      </w:r>
      <w:r w:rsidR="006775F7">
        <w:rPr>
          <w:rFonts w:ascii="Arial" w:hAnsi="Arial" w:cs="Arial"/>
          <w:sz w:val="24"/>
          <w:szCs w:val="24"/>
        </w:rPr>
        <w:t xml:space="preserve"> </w:t>
      </w:r>
      <w:r w:rsidR="004C239D">
        <w:rPr>
          <w:rFonts w:ascii="Arial" w:hAnsi="Arial" w:cs="Arial"/>
          <w:sz w:val="24"/>
          <w:szCs w:val="24"/>
        </w:rPr>
        <w:t>a partir dos</w:t>
      </w:r>
      <w:r w:rsidR="00950CE2">
        <w:rPr>
          <w:rFonts w:ascii="Arial" w:hAnsi="Arial" w:cs="Arial"/>
          <w:sz w:val="24"/>
          <w:szCs w:val="24"/>
        </w:rPr>
        <w:t xml:space="preserve"> 40 anos</w:t>
      </w:r>
      <w:r w:rsidR="004C239D">
        <w:rPr>
          <w:rFonts w:ascii="Arial" w:hAnsi="Arial" w:cs="Arial"/>
          <w:sz w:val="24"/>
          <w:szCs w:val="24"/>
        </w:rPr>
        <w:t xml:space="preserve"> de idade</w:t>
      </w:r>
      <w:r w:rsidR="00950CE2">
        <w:rPr>
          <w:rFonts w:ascii="Arial" w:hAnsi="Arial" w:cs="Arial"/>
          <w:sz w:val="24"/>
          <w:szCs w:val="24"/>
        </w:rPr>
        <w:t xml:space="preserve">, </w:t>
      </w:r>
      <w:r w:rsidR="001C6372">
        <w:rPr>
          <w:rFonts w:ascii="Arial" w:hAnsi="Arial" w:cs="Arial"/>
          <w:sz w:val="24"/>
          <w:szCs w:val="24"/>
        </w:rPr>
        <w:t>a dispensa de um dia do</w:t>
      </w:r>
      <w:r w:rsidR="00950CE2">
        <w:rPr>
          <w:rFonts w:ascii="Arial" w:hAnsi="Arial" w:cs="Arial"/>
          <w:sz w:val="24"/>
          <w:szCs w:val="24"/>
        </w:rPr>
        <w:t xml:space="preserve"> serviço por ano para a realização do exame de mamografia</w:t>
      </w:r>
      <w:r w:rsidR="00644BA7">
        <w:rPr>
          <w:rFonts w:ascii="Arial" w:hAnsi="Arial" w:cs="Arial"/>
          <w:sz w:val="24"/>
          <w:szCs w:val="24"/>
        </w:rPr>
        <w:t>.</w:t>
      </w:r>
    </w:p>
    <w:p w:rsidR="00644BA7" w:rsidRDefault="00702D7B" w:rsidP="00644BA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AE6BCB" w:rsidRDefault="00AE6BCB" w:rsidP="00644BA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83977" w:rsidRDefault="00644BA7" w:rsidP="00644BA7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8164D8"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481E2D" w:rsidRDefault="00481E2D" w:rsidP="008164D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738AB" w:rsidRDefault="00BB4154" w:rsidP="00644BA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contém vício</w:t>
      </w:r>
      <w:r w:rsidR="00644BA7">
        <w:rPr>
          <w:rFonts w:ascii="Arial" w:hAnsi="Arial" w:cs="Arial"/>
          <w:sz w:val="24"/>
          <w:szCs w:val="24"/>
        </w:rPr>
        <w:t xml:space="preserve">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644BA7">
        <w:rPr>
          <w:rFonts w:ascii="Arial" w:hAnsi="Arial" w:cs="Arial"/>
          <w:sz w:val="24"/>
          <w:szCs w:val="24"/>
        </w:rPr>
        <w:t>porquanto invade a competência administra</w:t>
      </w:r>
      <w:r w:rsidR="00340A1C">
        <w:rPr>
          <w:rFonts w:ascii="Arial" w:hAnsi="Arial" w:cs="Arial"/>
          <w:sz w:val="24"/>
          <w:szCs w:val="24"/>
        </w:rPr>
        <w:t>tiva, típica do Poder Executivo.</w:t>
      </w:r>
    </w:p>
    <w:p w:rsidR="00644BA7" w:rsidRDefault="00340A1C" w:rsidP="00200650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1C4">
        <w:rPr>
          <w:rFonts w:ascii="Arial" w:hAnsi="Arial" w:cs="Arial"/>
          <w:sz w:val="24"/>
          <w:szCs w:val="24"/>
        </w:rPr>
        <w:t>Isso porque consoante à interpretação do art. 73</w:t>
      </w:r>
      <w:r w:rsidR="00467E03">
        <w:rPr>
          <w:rFonts w:ascii="Arial" w:hAnsi="Arial" w:cs="Arial"/>
          <w:sz w:val="24"/>
          <w:szCs w:val="24"/>
        </w:rPr>
        <w:t>, I e II</w:t>
      </w:r>
      <w:r w:rsidRPr="00ED41C4">
        <w:rPr>
          <w:rFonts w:ascii="Arial" w:hAnsi="Arial" w:cs="Arial"/>
          <w:sz w:val="24"/>
          <w:szCs w:val="24"/>
        </w:rPr>
        <w:t xml:space="preserve"> da Lei Orgânica Municipal</w:t>
      </w:r>
      <w:r w:rsidR="00467E03">
        <w:rPr>
          <w:rFonts w:ascii="Arial" w:hAnsi="Arial" w:cs="Arial"/>
          <w:sz w:val="24"/>
          <w:szCs w:val="24"/>
        </w:rPr>
        <w:t>,</w:t>
      </w:r>
      <w:r w:rsidR="00200650" w:rsidRPr="00ED41C4">
        <w:rPr>
          <w:rFonts w:ascii="Arial" w:hAnsi="Arial" w:cs="Arial"/>
          <w:sz w:val="24"/>
          <w:szCs w:val="24"/>
        </w:rPr>
        <w:t xml:space="preserve"> compete</w:t>
      </w:r>
      <w:r w:rsidRPr="00ED41C4">
        <w:rPr>
          <w:rFonts w:ascii="Arial" w:hAnsi="Arial" w:cs="Arial"/>
          <w:sz w:val="24"/>
          <w:szCs w:val="24"/>
        </w:rPr>
        <w:t xml:space="preserve"> ao Chefe do</w:t>
      </w:r>
      <w:r w:rsidR="00ED41C4" w:rsidRPr="00ED41C4">
        <w:rPr>
          <w:rFonts w:ascii="Arial" w:hAnsi="Arial" w:cs="Arial"/>
          <w:sz w:val="24"/>
          <w:szCs w:val="24"/>
        </w:rPr>
        <w:t xml:space="preserve"> Executivo</w:t>
      </w:r>
      <w:r w:rsidRPr="00ED41C4">
        <w:rPr>
          <w:rFonts w:ascii="Arial" w:hAnsi="Arial" w:cs="Arial"/>
          <w:sz w:val="24"/>
          <w:szCs w:val="24"/>
        </w:rPr>
        <w:t xml:space="preserve"> </w:t>
      </w:r>
      <w:r w:rsidR="00ED41C4">
        <w:rPr>
          <w:rFonts w:ascii="Arial" w:hAnsi="Arial" w:cs="Arial"/>
          <w:sz w:val="24"/>
          <w:szCs w:val="24"/>
        </w:rPr>
        <w:t>regulamentar as matérias referentes aos servidores públicos</w:t>
      </w:r>
      <w:r w:rsidR="00C95D36">
        <w:rPr>
          <w:rFonts w:ascii="Arial" w:hAnsi="Arial" w:cs="Arial"/>
          <w:sz w:val="24"/>
          <w:szCs w:val="24"/>
        </w:rPr>
        <w:t>.</w:t>
      </w:r>
    </w:p>
    <w:p w:rsidR="00C349AF" w:rsidRDefault="00C349AF" w:rsidP="00200650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49AF" w:rsidRPr="00AC7EE2" w:rsidRDefault="00C349AF" w:rsidP="00C349AF">
      <w:pPr>
        <w:spacing w:after="12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AC7EE2">
        <w:rPr>
          <w:rFonts w:ascii="Times New Roman" w:hAnsi="Times New Roman" w:cs="Times New Roman"/>
          <w:i/>
          <w:sz w:val="24"/>
          <w:szCs w:val="24"/>
        </w:rPr>
        <w:t>Art. 73. São de iniciativa exclusiva do Prefeito as leis que disponham sobre:</w:t>
      </w:r>
    </w:p>
    <w:p w:rsidR="00C349AF" w:rsidRPr="00AC7EE2" w:rsidRDefault="00C349AF" w:rsidP="00C349AF">
      <w:pPr>
        <w:spacing w:after="12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EE2">
        <w:rPr>
          <w:rFonts w:ascii="Times New Roman" w:hAnsi="Times New Roman" w:cs="Times New Roman"/>
          <w:i/>
          <w:sz w:val="24"/>
          <w:szCs w:val="24"/>
        </w:rPr>
        <w:lastRenderedPageBreak/>
        <w:t>I – criação, transformação ou extinção de cargos, funções ou empregos públicos na administração direta, autárquica, fundacional e a fixação da respectiva remuneração;</w:t>
      </w:r>
    </w:p>
    <w:p w:rsidR="00C349AF" w:rsidRPr="00AC7EE2" w:rsidRDefault="00C349AF" w:rsidP="00C349AF">
      <w:pPr>
        <w:spacing w:after="120" w:line="240" w:lineRule="auto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EE2">
        <w:rPr>
          <w:rFonts w:ascii="Times New Roman" w:hAnsi="Times New Roman" w:cs="Times New Roman"/>
          <w:i/>
          <w:sz w:val="24"/>
          <w:szCs w:val="24"/>
        </w:rPr>
        <w:t xml:space="preserve">II – </w:t>
      </w:r>
      <w:r w:rsidRPr="00AC7EE2">
        <w:rPr>
          <w:rFonts w:ascii="Times New Roman" w:hAnsi="Times New Roman" w:cs="Times New Roman"/>
          <w:b/>
          <w:i/>
          <w:sz w:val="24"/>
          <w:szCs w:val="24"/>
        </w:rPr>
        <w:t>regime jurídico único dos servidores da administração direta</w:t>
      </w:r>
      <w:r w:rsidRPr="00AC7EE2">
        <w:rPr>
          <w:rFonts w:ascii="Times New Roman" w:hAnsi="Times New Roman" w:cs="Times New Roman"/>
          <w:i/>
          <w:sz w:val="24"/>
          <w:szCs w:val="24"/>
        </w:rPr>
        <w:t>,</w:t>
      </w:r>
      <w:r w:rsidR="00467E03" w:rsidRPr="00AC7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EE2">
        <w:rPr>
          <w:rFonts w:ascii="Times New Roman" w:hAnsi="Times New Roman" w:cs="Times New Roman"/>
          <w:i/>
          <w:sz w:val="24"/>
          <w:szCs w:val="24"/>
        </w:rPr>
        <w:t>autárquica e fundacional, provimento de cargos, estabilidade e aposentadoria.</w:t>
      </w:r>
    </w:p>
    <w:p w:rsidR="00936A4C" w:rsidRDefault="00936A4C" w:rsidP="00C349AF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49AF" w:rsidRDefault="00C349AF" w:rsidP="00C349AF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diretriz da iniciativa privativa tem como escopo resguardar o equilíbrio entre os poderes.</w:t>
      </w:r>
    </w:p>
    <w:p w:rsidR="00936A4C" w:rsidRDefault="00936A4C" w:rsidP="00C349AF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Vejamos algumas decisões judiciais sobre o assunto:</w:t>
      </w:r>
    </w:p>
    <w:p w:rsidR="008836B8" w:rsidRDefault="008836B8" w:rsidP="00C349AF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836B8" w:rsidRPr="00AC7EE2" w:rsidRDefault="008836B8" w:rsidP="008836B8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"Significação constitucional do regime jurídico dos servidores públicos (civis e militares). A locução constitucional ‘regime jurídico dos servidores públicos’ corresponde ao conjunto de normas que disciplinam os diversos aspectos das relações, estatutárias ou contratuais, mantidas pelo Estado com os seus agentes. Precedentes." (</w:t>
      </w:r>
      <w:r w:rsidR="00FD52FB"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STF - </w:t>
      </w:r>
      <w:hyperlink r:id="rId7" w:tgtFrame="_blank" w:history="1">
        <w:r w:rsidRPr="00AC7EE2">
          <w:rPr>
            <w:rStyle w:val="Forte"/>
            <w:rFonts w:ascii="Times New Roman" w:hAnsi="Times New Roman" w:cs="Times New Roman"/>
            <w:sz w:val="24"/>
            <w:szCs w:val="24"/>
            <w:shd w:val="clear" w:color="auto" w:fill="FFFFFF"/>
          </w:rPr>
          <w:t>ADI 2.867</w:t>
        </w:r>
      </w:hyperlink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Celso de Mello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3-12-2003, Plenário,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de 9-2-2007.)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No mesmo sentido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AC7EE2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AI 348.800</w:t>
        </w:r>
      </w:hyperlink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Celso de Mello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, decisão monocrática, julgamento em 5-10-2009,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DJE</w:t>
      </w:r>
      <w:r w:rsidRPr="00AC7EE2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de 20-10-2009.</w:t>
      </w:r>
    </w:p>
    <w:bookmarkEnd w:id="0"/>
    <w:p w:rsidR="00517504" w:rsidRPr="00AC7EE2" w:rsidRDefault="00517504" w:rsidP="008836B8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7504" w:rsidRPr="00AC7EE2" w:rsidRDefault="00517504" w:rsidP="008836B8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"Regime </w:t>
      </w:r>
      <w:proofErr w:type="gramStart"/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jurídico dos servidores públicos estaduais</w:t>
      </w:r>
      <w:proofErr w:type="gramEnd"/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. Aposentadoria e vantagens financeiras. Inconstitucionalidade formal. Vício que persiste, não obstante a sanção do respectivo projeto de lei. Precedentes. Dispositivo legal oriundo de emenda parlamentar referente aos servidores públicos estaduais, sua aposentadoria e vantagens financeiras. Inconstitucionalidade formal em face do disposto no art. 61, § 1º, II,</w:t>
      </w:r>
      <w:r w:rsidRPr="00AC7EE2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AC7EE2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 Carta Federal. </w:t>
      </w:r>
      <w:r w:rsidRPr="00AC7E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É firme na jurisprudência do Tribunal que a sanção do projeto de lei não convalida o defeito de iniciativa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." (STF - </w:t>
      </w:r>
      <w:hyperlink r:id="rId9" w:history="1">
        <w:r w:rsidRPr="00AC7EE2">
          <w:rPr>
            <w:rStyle w:val="Forte"/>
            <w:rFonts w:ascii="Times New Roman" w:hAnsi="Times New Roman" w:cs="Times New Roman"/>
            <w:sz w:val="24"/>
            <w:szCs w:val="24"/>
            <w:shd w:val="clear" w:color="auto" w:fill="FFFFFF"/>
          </w:rPr>
          <w:t>ADI 700</w:t>
        </w:r>
      </w:hyperlink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Maurício Corrêa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23-5-2001, Plenário,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</w:t>
      </w:r>
      <w:r w:rsidRPr="00AC7EE2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24-8-2001.) No mesmo </w:t>
      </w:r>
      <w:proofErr w:type="spellStart"/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sentido:</w:t>
      </w:r>
      <w:hyperlink r:id="rId10" w:history="1">
        <w:r w:rsidRPr="00AC7EE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ADI</w:t>
        </w:r>
        <w:proofErr w:type="spellEnd"/>
        <w:r w:rsidRPr="00AC7EE2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2.904</w:t>
        </w:r>
      </w:hyperlink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Menezes Direito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15-4-2009, Plenário,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DJE</w:t>
      </w:r>
      <w:r w:rsidRPr="00AC7E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7EE2">
        <w:rPr>
          <w:rFonts w:ascii="Times New Roman" w:hAnsi="Times New Roman" w:cs="Times New Roman"/>
          <w:sz w:val="24"/>
          <w:szCs w:val="24"/>
          <w:shd w:val="clear" w:color="auto" w:fill="FFFFFF"/>
        </w:rPr>
        <w:t>de 25-9-2009.</w:t>
      </w:r>
    </w:p>
    <w:p w:rsidR="008836B8" w:rsidRPr="00AC7EE2" w:rsidRDefault="008836B8" w:rsidP="008836B8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467E03" w:rsidRPr="00AC7EE2" w:rsidRDefault="00467E03" w:rsidP="008836B8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ADIN. LEI MUNICIPAL. VÍCIO DE INICIATIVA. REGIME JURÍDICO DOS SERVIDORES MUNICIPAIS. PRORROGAÇÃO DE LICENÇA-MATERNIDADE. ATRIBUIÇÃO DO EXECUTIVO. PRESERVAÇÃO DO PRINCÍPIO DA HARMONIA E INDEPENDÊNCIA ENTRE OS PODERES. INCONSTITUCIONALIDADE FORMAL. -O vício de iniciativa na deflagração do processo legislativo municipal, forte na necessidade de observância e preservação do princípio da harmonia e independência entre os poderes, nos termos em que materializado ao longo da Constituição do Estado de Minas Gerais, implica a invalidade formal do diploma legal dele proveniente. -Por força da norma que, numa análise sistemática, emana dos artigos 170, 'caput', c/c inciso VI, c/c art. 177, parágrafo 3º, c/c art. 176, c/c art. 66, III, 'c', todos da Constituição do Estado de Minas Gerais, a iniciativa para deflagrar o processo legislativo referente ao regime jurídico dos servidores, tema dentre o qual se inclui a prorrogação de licença-maternidade 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às servidoras municipais, é do chefe do Poder Executivo local.   (</w:t>
      </w:r>
      <w:r w:rsidR="00FD52FB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Ação Direta </w:t>
      </w:r>
      <w:proofErr w:type="spell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Inconst</w:t>
      </w:r>
      <w:proofErr w:type="spellEnd"/>
      <w:proofErr w:type="gramStart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1.0000.12.046278-3/000, Relator(a): Des.(a) Selma Marques , ÓRGÃO ESPECIAL, julgamento em 03/04/2013, publicação da súmula em 26/04/2013)</w:t>
      </w:r>
      <w:r w:rsidR="00517504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36A4C" w:rsidRPr="00AC7EE2" w:rsidRDefault="00936A4C" w:rsidP="008836B8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B1272B" w:rsidRDefault="00644BA7" w:rsidP="00B1272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1272B">
        <w:rPr>
          <w:rFonts w:ascii="Arial" w:hAnsi="Arial" w:cs="Arial"/>
          <w:sz w:val="24"/>
          <w:szCs w:val="24"/>
        </w:rPr>
        <w:t>Por outro lado, verifica-se</w:t>
      </w:r>
      <w:r w:rsidR="00791F15">
        <w:rPr>
          <w:rFonts w:ascii="Arial" w:hAnsi="Arial" w:cs="Arial"/>
          <w:sz w:val="24"/>
          <w:szCs w:val="24"/>
        </w:rPr>
        <w:t xml:space="preserve"> que </w:t>
      </w:r>
      <w:r w:rsidR="00B30F38">
        <w:rPr>
          <w:rFonts w:ascii="Arial" w:hAnsi="Arial" w:cs="Arial"/>
          <w:sz w:val="24"/>
          <w:szCs w:val="24"/>
        </w:rPr>
        <w:t>a Lei Complementar n.º 02/90</w:t>
      </w:r>
      <w:r w:rsidR="00FD52FB">
        <w:rPr>
          <w:rFonts w:ascii="Arial" w:hAnsi="Arial" w:cs="Arial"/>
          <w:sz w:val="24"/>
          <w:szCs w:val="24"/>
        </w:rPr>
        <w:t xml:space="preserve"> (Estatuto dos Servidores Públicos de Patos de Minas)</w:t>
      </w:r>
      <w:r w:rsidR="00B30F38">
        <w:rPr>
          <w:rFonts w:ascii="Arial" w:hAnsi="Arial" w:cs="Arial"/>
          <w:sz w:val="24"/>
          <w:szCs w:val="24"/>
        </w:rPr>
        <w:t>, e</w:t>
      </w:r>
      <w:r w:rsidR="00935650">
        <w:rPr>
          <w:rFonts w:ascii="Arial" w:hAnsi="Arial" w:cs="Arial"/>
          <w:sz w:val="24"/>
          <w:szCs w:val="24"/>
        </w:rPr>
        <w:t>specificamente no art. 111</w:t>
      </w:r>
      <w:r w:rsidR="00B30F38">
        <w:rPr>
          <w:rFonts w:ascii="Arial" w:hAnsi="Arial" w:cs="Arial"/>
          <w:sz w:val="24"/>
          <w:szCs w:val="24"/>
        </w:rPr>
        <w:t>, já prevê a possibilidade de se abonar a falta de servidor pú</w:t>
      </w:r>
      <w:r w:rsidR="001E760A">
        <w:rPr>
          <w:rFonts w:ascii="Arial" w:hAnsi="Arial" w:cs="Arial"/>
          <w:sz w:val="24"/>
          <w:szCs w:val="24"/>
        </w:rPr>
        <w:t xml:space="preserve">blico que apresente o </w:t>
      </w:r>
      <w:r w:rsidR="00B30F38">
        <w:rPr>
          <w:rFonts w:ascii="Arial" w:hAnsi="Arial" w:cs="Arial"/>
          <w:sz w:val="24"/>
          <w:szCs w:val="24"/>
        </w:rPr>
        <w:t>atestado médico.</w:t>
      </w:r>
    </w:p>
    <w:p w:rsidR="00B1272B" w:rsidRDefault="00B1272B" w:rsidP="00B1272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Neste sentido, se já existente a previsão legal, o projeto apresenta-se, sob este peculiar aspecto, </w:t>
      </w:r>
      <w:r w:rsidR="00FD52FB">
        <w:rPr>
          <w:rFonts w:ascii="Arial" w:hAnsi="Arial" w:cs="Arial"/>
          <w:sz w:val="24"/>
          <w:szCs w:val="24"/>
        </w:rPr>
        <w:t xml:space="preserve">não inovação da ordem jurídica quanto </w:t>
      </w:r>
      <w:r>
        <w:rPr>
          <w:rFonts w:ascii="Arial" w:hAnsi="Arial" w:cs="Arial"/>
          <w:sz w:val="24"/>
          <w:szCs w:val="24"/>
        </w:rPr>
        <w:t>à exigência de laudo ou atestado comprobatório da realização do exame mamográfico (previsão contida em seu art. 1º, § 2º da proposição).</w:t>
      </w:r>
    </w:p>
    <w:p w:rsidR="008034B4" w:rsidRDefault="008371A9" w:rsidP="008371A9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a conclusão do </w:t>
      </w:r>
      <w:r w:rsidRPr="00B1272B">
        <w:rPr>
          <w:rFonts w:ascii="Arial" w:hAnsi="Arial" w:cs="Arial"/>
          <w:b/>
          <w:sz w:val="24"/>
          <w:szCs w:val="24"/>
        </w:rPr>
        <w:t>vício formal</w:t>
      </w:r>
      <w:r>
        <w:rPr>
          <w:rFonts w:ascii="Arial" w:hAnsi="Arial" w:cs="Arial"/>
          <w:sz w:val="24"/>
          <w:szCs w:val="24"/>
        </w:rPr>
        <w:t xml:space="preserve"> de iniciativa</w:t>
      </w:r>
      <w:r w:rsidR="009D3224">
        <w:rPr>
          <w:rFonts w:ascii="Arial" w:hAnsi="Arial" w:cs="Arial"/>
          <w:sz w:val="24"/>
          <w:szCs w:val="24"/>
        </w:rPr>
        <w:t xml:space="preserve"> </w:t>
      </w:r>
      <w:r w:rsidR="00FD52FB">
        <w:rPr>
          <w:rFonts w:ascii="Arial" w:hAnsi="Arial" w:cs="Arial"/>
          <w:sz w:val="24"/>
          <w:szCs w:val="24"/>
        </w:rPr>
        <w:t>e a possibilidade já conferida</w:t>
      </w:r>
      <w:r w:rsidR="00B1272B">
        <w:rPr>
          <w:rFonts w:ascii="Arial" w:hAnsi="Arial" w:cs="Arial"/>
          <w:sz w:val="24"/>
          <w:szCs w:val="24"/>
        </w:rPr>
        <w:t xml:space="preserve"> ao servidor de abonar falta mediante a </w:t>
      </w:r>
      <w:r w:rsidR="00FD52FB">
        <w:rPr>
          <w:rFonts w:ascii="Arial" w:hAnsi="Arial" w:cs="Arial"/>
          <w:sz w:val="24"/>
          <w:szCs w:val="24"/>
        </w:rPr>
        <w:t>apresentação de atestado médico pelo Estatuto dos Servidores Públicos de Patos de Minas,</w:t>
      </w:r>
      <w:r w:rsidR="00B127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deixo de apreciar a questão da constitucionalidade material, juridicidade e técnica legislativa.</w:t>
      </w:r>
    </w:p>
    <w:p w:rsidR="008164D8" w:rsidRPr="008164D8" w:rsidRDefault="008164D8" w:rsidP="008164D8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8034B4" w:rsidRPr="008164D8" w:rsidRDefault="008164D8" w:rsidP="00A80B3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FA2CF0" w:rsidRDefault="008164D8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B1272B" w:rsidRDefault="008164D8" w:rsidP="00B1272B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8371A9" w:rsidRPr="008371A9">
        <w:rPr>
          <w:rFonts w:ascii="Arial" w:hAnsi="Arial" w:cs="Arial"/>
          <w:b/>
          <w:bCs/>
          <w:sz w:val="24"/>
          <w:szCs w:val="24"/>
        </w:rPr>
        <w:t>concluo</w:t>
      </w:r>
      <w:r w:rsidR="008371A9">
        <w:rPr>
          <w:rFonts w:ascii="Arial" w:hAnsi="Arial" w:cs="Arial"/>
          <w:bCs/>
          <w:sz w:val="24"/>
          <w:szCs w:val="24"/>
        </w:rPr>
        <w:t xml:space="preserve"> </w:t>
      </w:r>
      <w:r w:rsidR="009C58BD">
        <w:rPr>
          <w:rFonts w:ascii="Arial" w:hAnsi="Arial" w:cs="Arial"/>
          <w:b/>
          <w:bCs/>
          <w:sz w:val="24"/>
          <w:szCs w:val="24"/>
        </w:rPr>
        <w:t xml:space="preserve">pela </w:t>
      </w:r>
      <w:r w:rsidR="008371A9">
        <w:rPr>
          <w:rFonts w:ascii="Arial" w:hAnsi="Arial" w:cs="Arial"/>
          <w:b/>
          <w:bCs/>
          <w:sz w:val="24"/>
          <w:szCs w:val="24"/>
        </w:rPr>
        <w:t>existência de vício formal de constitucionalidade (vício de iniciativa</w:t>
      </w:r>
      <w:r w:rsidR="000218BE">
        <w:rPr>
          <w:rFonts w:ascii="Arial" w:hAnsi="Arial" w:cs="Arial"/>
          <w:b/>
          <w:bCs/>
          <w:sz w:val="24"/>
          <w:szCs w:val="24"/>
        </w:rPr>
        <w:t>)</w:t>
      </w:r>
      <w:r w:rsidR="00AD5AD3">
        <w:rPr>
          <w:rFonts w:ascii="Arial" w:hAnsi="Arial" w:cs="Arial"/>
          <w:b/>
          <w:bCs/>
          <w:sz w:val="24"/>
          <w:szCs w:val="24"/>
        </w:rPr>
        <w:t xml:space="preserve"> </w:t>
      </w:r>
      <w:r w:rsidR="00AD5AD3"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="00AD5AD3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AD5AD3">
        <w:rPr>
          <w:rFonts w:ascii="Arial" w:hAnsi="Arial" w:cs="Arial"/>
          <w:b/>
          <w:sz w:val="24"/>
          <w:szCs w:val="24"/>
        </w:rPr>
        <w:t>Lei</w:t>
      </w:r>
      <w:r w:rsidR="00AD5AD3" w:rsidRPr="0076185E">
        <w:rPr>
          <w:rFonts w:ascii="Arial" w:hAnsi="Arial" w:cs="Arial"/>
          <w:b/>
          <w:sz w:val="24"/>
          <w:szCs w:val="24"/>
        </w:rPr>
        <w:t xml:space="preserve"> n</w:t>
      </w:r>
      <w:r w:rsidR="00AD5AD3">
        <w:rPr>
          <w:rFonts w:ascii="Arial" w:hAnsi="Arial" w:cs="Arial"/>
          <w:b/>
          <w:sz w:val="24"/>
          <w:szCs w:val="24"/>
        </w:rPr>
        <w:t>.</w:t>
      </w:r>
      <w:r w:rsidR="00AD5AD3" w:rsidRPr="0076185E">
        <w:rPr>
          <w:rFonts w:ascii="Arial" w:hAnsi="Arial" w:cs="Arial"/>
          <w:b/>
          <w:sz w:val="24"/>
          <w:szCs w:val="24"/>
        </w:rPr>
        <w:t xml:space="preserve">º </w:t>
      </w:r>
      <w:r w:rsidR="00AD5AD3">
        <w:rPr>
          <w:rFonts w:ascii="Arial" w:hAnsi="Arial" w:cs="Arial"/>
          <w:b/>
          <w:sz w:val="24"/>
          <w:szCs w:val="24"/>
        </w:rPr>
        <w:t>3</w:t>
      </w:r>
      <w:r w:rsidR="00B1272B">
        <w:rPr>
          <w:rFonts w:ascii="Arial" w:hAnsi="Arial" w:cs="Arial"/>
          <w:b/>
          <w:sz w:val="24"/>
          <w:szCs w:val="24"/>
        </w:rPr>
        <w:t>.</w:t>
      </w:r>
      <w:r w:rsidR="00AD5AD3">
        <w:rPr>
          <w:rFonts w:ascii="Arial" w:hAnsi="Arial" w:cs="Arial"/>
          <w:b/>
          <w:sz w:val="24"/>
          <w:szCs w:val="24"/>
        </w:rPr>
        <w:t>655</w:t>
      </w:r>
      <w:r w:rsidR="00AD5AD3"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AD5AD3">
        <w:rPr>
          <w:rFonts w:ascii="Arial" w:hAnsi="Arial" w:cs="Arial"/>
          <w:b/>
          <w:sz w:val="24"/>
          <w:szCs w:val="24"/>
        </w:rPr>
        <w:t xml:space="preserve">28 </w:t>
      </w:r>
      <w:r w:rsidR="00AD5AD3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AD5AD3">
        <w:rPr>
          <w:rFonts w:ascii="Arial" w:hAnsi="Arial" w:cs="Arial"/>
          <w:b/>
          <w:sz w:val="24"/>
          <w:szCs w:val="24"/>
        </w:rPr>
        <w:t>maio</w:t>
      </w:r>
      <w:r w:rsidR="00AD5AD3"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AD5AD3">
        <w:rPr>
          <w:rFonts w:ascii="Arial" w:hAnsi="Arial" w:cs="Arial"/>
          <w:sz w:val="24"/>
          <w:szCs w:val="24"/>
        </w:rPr>
        <w:t xml:space="preserve">, que </w:t>
      </w:r>
      <w:r w:rsidR="00AD5AD3" w:rsidRPr="008164D8">
        <w:rPr>
          <w:rFonts w:ascii="Arial" w:hAnsi="Arial" w:cs="Arial"/>
          <w:sz w:val="24"/>
          <w:szCs w:val="24"/>
        </w:rPr>
        <w:t>“</w:t>
      </w:r>
      <w:r w:rsidR="00AD5AD3">
        <w:rPr>
          <w:rFonts w:ascii="Arial" w:hAnsi="Arial" w:cs="Arial"/>
          <w:sz w:val="24"/>
          <w:szCs w:val="24"/>
        </w:rPr>
        <w:t>Autoriza servidoras públicas municipais a serem dispensadas do serviço, por um dia, para realizarem exame de mamografia e dá outras providências</w:t>
      </w:r>
      <w:r w:rsidR="00AD5AD3" w:rsidRPr="00B1272B">
        <w:rPr>
          <w:rFonts w:ascii="Arial" w:hAnsi="Arial" w:cs="Arial"/>
          <w:sz w:val="24"/>
          <w:szCs w:val="24"/>
        </w:rPr>
        <w:t>”</w:t>
      </w:r>
      <w:r w:rsidR="00B1272B">
        <w:rPr>
          <w:rFonts w:ascii="Arial" w:hAnsi="Arial" w:cs="Arial"/>
          <w:sz w:val="24"/>
          <w:szCs w:val="24"/>
        </w:rPr>
        <w:t>.</w:t>
      </w:r>
    </w:p>
    <w:p w:rsidR="008371A9" w:rsidRPr="00B1272B" w:rsidRDefault="00936A4C" w:rsidP="00B1272B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Sugere-se, </w:t>
      </w:r>
      <w:r w:rsidR="00B1272B" w:rsidRPr="00B1272B">
        <w:rPr>
          <w:rFonts w:ascii="Arial" w:hAnsi="Arial" w:cs="Arial"/>
          <w:bCs/>
          <w:sz w:val="24"/>
          <w:szCs w:val="24"/>
        </w:rPr>
        <w:t xml:space="preserve">entretanto, a transformação da proposição em </w:t>
      </w:r>
      <w:r w:rsidR="00B1272B" w:rsidRPr="00920A76">
        <w:rPr>
          <w:rFonts w:ascii="Arial" w:hAnsi="Arial" w:cs="Arial"/>
          <w:b/>
          <w:bCs/>
          <w:sz w:val="24"/>
          <w:szCs w:val="24"/>
        </w:rPr>
        <w:t>indicação a ser dirigida ao prefeito</w:t>
      </w:r>
      <w:r w:rsidR="00B1272B" w:rsidRPr="00B1272B">
        <w:rPr>
          <w:rFonts w:ascii="Arial" w:hAnsi="Arial" w:cs="Arial"/>
          <w:bCs/>
          <w:sz w:val="24"/>
          <w:szCs w:val="24"/>
        </w:rPr>
        <w:t xml:space="preserve">, na forma do art. 187 do Regimento Interno, por </w:t>
      </w:r>
      <w:r>
        <w:rPr>
          <w:rFonts w:ascii="Arial" w:hAnsi="Arial" w:cs="Arial"/>
          <w:bCs/>
          <w:sz w:val="24"/>
          <w:szCs w:val="24"/>
        </w:rPr>
        <w:t xml:space="preserve">entender que </w:t>
      </w:r>
      <w:r w:rsidR="00B1272B" w:rsidRPr="00B1272B">
        <w:rPr>
          <w:rFonts w:ascii="Arial" w:hAnsi="Arial" w:cs="Arial"/>
          <w:bCs/>
          <w:sz w:val="24"/>
          <w:szCs w:val="24"/>
        </w:rPr>
        <w:t>trata de medida</w:t>
      </w:r>
      <w:r>
        <w:rPr>
          <w:rFonts w:ascii="Arial" w:hAnsi="Arial" w:cs="Arial"/>
          <w:bCs/>
          <w:sz w:val="24"/>
          <w:szCs w:val="24"/>
        </w:rPr>
        <w:t xml:space="preserve"> de relevante interesse público e que deve ser incentiva</w:t>
      </w:r>
      <w:r w:rsidR="006D28DA">
        <w:rPr>
          <w:rFonts w:ascii="Arial" w:hAnsi="Arial" w:cs="Arial"/>
          <w:bCs/>
          <w:sz w:val="24"/>
          <w:szCs w:val="24"/>
        </w:rPr>
        <w:t>da</w:t>
      </w:r>
      <w:r>
        <w:rPr>
          <w:rFonts w:ascii="Arial" w:hAnsi="Arial" w:cs="Arial"/>
          <w:bCs/>
          <w:sz w:val="24"/>
          <w:szCs w:val="24"/>
        </w:rPr>
        <w:t xml:space="preserve"> e cumprida no âmbito do Sistema Único de Saúde conforme previsão legal.</w:t>
      </w:r>
    </w:p>
    <w:p w:rsidR="008371A9" w:rsidRPr="008371A9" w:rsidRDefault="008371A9" w:rsidP="002429E5">
      <w:pPr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 w:rsidRPr="008371A9">
        <w:rPr>
          <w:rFonts w:ascii="Arial" w:hAnsi="Arial" w:cs="Arial"/>
          <w:bCs/>
          <w:sz w:val="24"/>
          <w:szCs w:val="24"/>
        </w:rPr>
        <w:t>É como voto.</w:t>
      </w:r>
    </w:p>
    <w:p w:rsidR="00FA2CF0" w:rsidRPr="008164D8" w:rsidRDefault="009C58BD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="00FA2CF0" w:rsidRPr="008164D8">
        <w:rPr>
          <w:rFonts w:ascii="Arial" w:hAnsi="Arial" w:cs="Arial"/>
          <w:sz w:val="24"/>
          <w:szCs w:val="24"/>
        </w:rPr>
        <w:t>,</w:t>
      </w:r>
      <w:r w:rsidR="00333811">
        <w:rPr>
          <w:rFonts w:ascii="Arial" w:hAnsi="Arial" w:cs="Arial"/>
          <w:sz w:val="24"/>
          <w:szCs w:val="24"/>
        </w:rPr>
        <w:t xml:space="preserve"> </w:t>
      </w:r>
      <w:r w:rsidR="00F46728">
        <w:rPr>
          <w:rFonts w:ascii="Arial" w:hAnsi="Arial" w:cs="Arial"/>
          <w:sz w:val="24"/>
          <w:szCs w:val="24"/>
        </w:rPr>
        <w:t>17</w:t>
      </w:r>
      <w:r w:rsidR="008371A9">
        <w:rPr>
          <w:rFonts w:ascii="Arial" w:hAnsi="Arial" w:cs="Arial"/>
          <w:sz w:val="24"/>
          <w:szCs w:val="24"/>
        </w:rPr>
        <w:t xml:space="preserve"> de </w:t>
      </w:r>
      <w:r w:rsidR="00F46728">
        <w:rPr>
          <w:rFonts w:ascii="Arial" w:hAnsi="Arial" w:cs="Arial"/>
          <w:sz w:val="24"/>
          <w:szCs w:val="24"/>
        </w:rPr>
        <w:t>junh</w:t>
      </w:r>
      <w:r w:rsidR="008371A9">
        <w:rPr>
          <w:rFonts w:ascii="Arial" w:hAnsi="Arial" w:cs="Arial"/>
          <w:sz w:val="24"/>
          <w:szCs w:val="24"/>
        </w:rPr>
        <w:t xml:space="preserve">o de </w:t>
      </w:r>
      <w:r>
        <w:rPr>
          <w:rFonts w:ascii="Arial" w:hAnsi="Arial" w:cs="Arial"/>
          <w:sz w:val="24"/>
          <w:szCs w:val="24"/>
        </w:rPr>
        <w:t>2013.</w:t>
      </w:r>
    </w:p>
    <w:p w:rsidR="009C58BD" w:rsidRDefault="009C58BD" w:rsidP="008164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2515D" w:rsidRDefault="009C58BD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</w:t>
      </w:r>
      <w:r w:rsidR="00AD5AD3">
        <w:rPr>
          <w:rFonts w:ascii="Arial" w:hAnsi="Arial" w:cs="Arial"/>
          <w:sz w:val="24"/>
          <w:szCs w:val="24"/>
        </w:rPr>
        <w:t xml:space="preserve"> FRANCISCO CARLOS FRECHIANI</w:t>
      </w:r>
    </w:p>
    <w:p w:rsidR="00FA2CF0" w:rsidRDefault="009C58BD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</w:t>
      </w:r>
    </w:p>
    <w:p w:rsidR="00AC0BAD" w:rsidRDefault="00AC0BAD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9C58BD" w:rsidRDefault="00A80B32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AD5AD3" w:rsidRDefault="00AD5AD3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AD5AD3" w:rsidRDefault="00AD5AD3" w:rsidP="00AD5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BARTOLOMEU FERREIRA RIBEIRO</w:t>
      </w:r>
    </w:p>
    <w:p w:rsidR="00AD5AD3" w:rsidRPr="008164D8" w:rsidRDefault="00AD5AD3" w:rsidP="00AD5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AD5AD3" w:rsidRDefault="00AD5AD3" w:rsidP="009C58B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</w:p>
    <w:p w:rsidR="00AD5AD3" w:rsidRDefault="00A80B32" w:rsidP="00A80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</w:t>
      </w:r>
      <w:r w:rsidR="00AD5AD3">
        <w:rPr>
          <w:rFonts w:ascii="Arial" w:hAnsi="Arial" w:cs="Arial"/>
          <w:sz w:val="24"/>
          <w:szCs w:val="24"/>
        </w:rPr>
        <w:t xml:space="preserve"> LINDOMAR FRANCISCO TAVARES</w:t>
      </w:r>
      <w:r>
        <w:rPr>
          <w:rFonts w:ascii="Arial" w:hAnsi="Arial" w:cs="Arial"/>
          <w:sz w:val="24"/>
          <w:szCs w:val="24"/>
        </w:rPr>
        <w:tab/>
      </w:r>
    </w:p>
    <w:p w:rsidR="00A80B32" w:rsidRPr="008164D8" w:rsidRDefault="00AD5AD3" w:rsidP="00AD5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80B32">
        <w:rPr>
          <w:rFonts w:ascii="Arial" w:hAnsi="Arial" w:cs="Arial"/>
          <w:sz w:val="24"/>
          <w:szCs w:val="24"/>
        </w:rPr>
        <w:t>Membro da CLJR</w:t>
      </w:r>
      <w:r w:rsidR="00A80B32">
        <w:rPr>
          <w:rFonts w:ascii="Arial" w:hAnsi="Arial" w:cs="Arial"/>
          <w:sz w:val="24"/>
          <w:szCs w:val="24"/>
        </w:rPr>
        <w:tab/>
      </w:r>
    </w:p>
    <w:sectPr w:rsidR="00A80B32" w:rsidRPr="008164D8" w:rsidSect="00AC7EE2">
      <w:pgSz w:w="11906" w:h="16838"/>
      <w:pgMar w:top="2268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218BE"/>
    <w:rsid w:val="0005025C"/>
    <w:rsid w:val="00073D37"/>
    <w:rsid w:val="001C6372"/>
    <w:rsid w:val="001E760A"/>
    <w:rsid w:val="00200650"/>
    <w:rsid w:val="00230B79"/>
    <w:rsid w:val="0023130F"/>
    <w:rsid w:val="002429E5"/>
    <w:rsid w:val="00284E75"/>
    <w:rsid w:val="002C03F8"/>
    <w:rsid w:val="003129AB"/>
    <w:rsid w:val="0032763A"/>
    <w:rsid w:val="00333811"/>
    <w:rsid w:val="00337F81"/>
    <w:rsid w:val="00340A1C"/>
    <w:rsid w:val="003A72D3"/>
    <w:rsid w:val="003C74CD"/>
    <w:rsid w:val="00431DEE"/>
    <w:rsid w:val="0046440D"/>
    <w:rsid w:val="00467E03"/>
    <w:rsid w:val="004738AB"/>
    <w:rsid w:val="00481E2D"/>
    <w:rsid w:val="004C239D"/>
    <w:rsid w:val="004F035C"/>
    <w:rsid w:val="004F42AA"/>
    <w:rsid w:val="00517504"/>
    <w:rsid w:val="00561D89"/>
    <w:rsid w:val="005D03DB"/>
    <w:rsid w:val="005D6171"/>
    <w:rsid w:val="00621AC0"/>
    <w:rsid w:val="00623D1D"/>
    <w:rsid w:val="0062515D"/>
    <w:rsid w:val="00644BA7"/>
    <w:rsid w:val="00644F51"/>
    <w:rsid w:val="006775F7"/>
    <w:rsid w:val="0069515F"/>
    <w:rsid w:val="006D28B9"/>
    <w:rsid w:val="006D28DA"/>
    <w:rsid w:val="00702D7B"/>
    <w:rsid w:val="00744BFE"/>
    <w:rsid w:val="0076185E"/>
    <w:rsid w:val="00782FDE"/>
    <w:rsid w:val="00784F58"/>
    <w:rsid w:val="00791F15"/>
    <w:rsid w:val="008034B4"/>
    <w:rsid w:val="008164D8"/>
    <w:rsid w:val="008371A9"/>
    <w:rsid w:val="008836B8"/>
    <w:rsid w:val="008A5C57"/>
    <w:rsid w:val="00920A76"/>
    <w:rsid w:val="00935650"/>
    <w:rsid w:val="00936A4C"/>
    <w:rsid w:val="00946900"/>
    <w:rsid w:val="00950CE2"/>
    <w:rsid w:val="00967DBD"/>
    <w:rsid w:val="0097195B"/>
    <w:rsid w:val="009C58BD"/>
    <w:rsid w:val="009D3224"/>
    <w:rsid w:val="00A268AD"/>
    <w:rsid w:val="00A2766D"/>
    <w:rsid w:val="00A80B32"/>
    <w:rsid w:val="00AC0BAD"/>
    <w:rsid w:val="00AC6B3D"/>
    <w:rsid w:val="00AC7EE2"/>
    <w:rsid w:val="00AD5AD3"/>
    <w:rsid w:val="00AE6BCB"/>
    <w:rsid w:val="00B1272B"/>
    <w:rsid w:val="00B30F38"/>
    <w:rsid w:val="00B70E43"/>
    <w:rsid w:val="00BB4154"/>
    <w:rsid w:val="00BF7CD7"/>
    <w:rsid w:val="00C349AF"/>
    <w:rsid w:val="00C6345E"/>
    <w:rsid w:val="00C95D36"/>
    <w:rsid w:val="00CD0EE7"/>
    <w:rsid w:val="00D3406C"/>
    <w:rsid w:val="00D40760"/>
    <w:rsid w:val="00D80E67"/>
    <w:rsid w:val="00D83977"/>
    <w:rsid w:val="00DA20E9"/>
    <w:rsid w:val="00EA66A0"/>
    <w:rsid w:val="00ED41C4"/>
    <w:rsid w:val="00F301B0"/>
    <w:rsid w:val="00F46728"/>
    <w:rsid w:val="00F77436"/>
    <w:rsid w:val="00F81931"/>
    <w:rsid w:val="00F82549"/>
    <w:rsid w:val="00FA2CF0"/>
    <w:rsid w:val="00FB1568"/>
    <w:rsid w:val="00FB19AB"/>
    <w:rsid w:val="00FB21B6"/>
    <w:rsid w:val="00FB2695"/>
    <w:rsid w:val="00FD52FB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2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12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8836B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36B8"/>
    <w:rPr>
      <w:b/>
      <w:bCs/>
    </w:rPr>
  </w:style>
  <w:style w:type="character" w:customStyle="1" w:styleId="apple-converted-space">
    <w:name w:val="apple-converted-space"/>
    <w:basedOn w:val="Fontepargpadro"/>
    <w:rsid w:val="008836B8"/>
  </w:style>
  <w:style w:type="character" w:styleId="nfase">
    <w:name w:val="Emphasis"/>
    <w:basedOn w:val="Fontepargpadro"/>
    <w:uiPriority w:val="20"/>
    <w:qFormat/>
    <w:rsid w:val="008836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2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12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8836B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36B8"/>
    <w:rPr>
      <w:b/>
      <w:bCs/>
    </w:rPr>
  </w:style>
  <w:style w:type="character" w:customStyle="1" w:styleId="apple-converted-space">
    <w:name w:val="apple-converted-space"/>
    <w:basedOn w:val="Fontepargpadro"/>
    <w:rsid w:val="008836B8"/>
  </w:style>
  <w:style w:type="character" w:styleId="nfase">
    <w:name w:val="Emphasis"/>
    <w:basedOn w:val="Fontepargpadro"/>
    <w:uiPriority w:val="20"/>
    <w:qFormat/>
    <w:rsid w:val="00883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.jus.br/portal/jurisprudencia/listarJurisprudencia.asp?s1=((348800.NUME.%20OU%20348800.DMS.)((CELSO%20DE%20MELLO).NORL.%20OU%20(CELSO%20DE%20MELLO).NPRO.))%20NAO%20S.PRES.&amp;base=baseMonocratica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f.jus.br/jurisprudencia/IT/frame.asp?SEQ=404096&amp;PROCESSO=2867&amp;CLASSE=ADI&amp;cod_classe=504&amp;ORIGEM=IT&amp;RECURSO=0&amp;TIP_JULGAMENTO=&amp;EMENTA=22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tf.jus.br/portal/inteiroTeor/obterInteiroTeor.asp?id=387218&amp;idDocumento=&amp;codigoClasse=555&amp;numero=2984&amp;siglaRecurso=MC&amp;classe=A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f.jus.br/portal/inteiroTeor/obterInteiroTeor.asp?id=266499&amp;idDocumento=&amp;codigoClasse=504&amp;numero=700&amp;siglaRecurso=&amp;classe=AD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FFB0-974D-4FB0-B9F6-88DE041F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1123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50</cp:revision>
  <cp:lastPrinted>2013-06-18T20:45:00Z</cp:lastPrinted>
  <dcterms:created xsi:type="dcterms:W3CDTF">2013-06-17T18:27:00Z</dcterms:created>
  <dcterms:modified xsi:type="dcterms:W3CDTF">2013-06-19T18:22:00Z</dcterms:modified>
</cp:coreProperties>
</file>